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000"/>
      </w:tblPr>
      <w:tblGrid>
        <w:gridCol w:w="485"/>
        <w:gridCol w:w="938"/>
        <w:gridCol w:w="1050"/>
        <w:gridCol w:w="7103"/>
      </w:tblGrid>
      <w:tr w:rsidR="006132B8" w:rsidRPr="00BD51C4" w:rsidTr="00C95C4E">
        <w:trPr>
          <w:trHeight w:val="288"/>
          <w:tblHeader/>
        </w:trPr>
        <w:tc>
          <w:tcPr>
            <w:tcW w:w="253" w:type="pct"/>
            <w:tcBorders>
              <w:top w:val="double" w:sz="4" w:space="0" w:color="auto"/>
              <w:bottom w:val="double" w:sz="4" w:space="0" w:color="auto"/>
            </w:tcBorders>
            <w:shd w:val="clear" w:color="auto" w:fill="002060"/>
            <w:vAlign w:val="center"/>
          </w:tcPr>
          <w:p w:rsidR="006132B8" w:rsidRPr="00BD51C4" w:rsidRDefault="006132B8" w:rsidP="00520911">
            <w:pPr>
              <w:spacing w:before="120" w:after="120"/>
              <w:jc w:val="center"/>
              <w:rPr>
                <w:b/>
                <w:bCs/>
                <w:smallCaps/>
                <w:color w:val="FFC000"/>
              </w:rPr>
            </w:pPr>
            <w:r w:rsidRPr="00BD51C4">
              <w:rPr>
                <w:b/>
                <w:bCs/>
                <w:smallCaps/>
                <w:color w:val="FFC000"/>
              </w:rPr>
              <w:t>#</w:t>
            </w:r>
          </w:p>
        </w:tc>
        <w:tc>
          <w:tcPr>
            <w:tcW w:w="490" w:type="pct"/>
            <w:tcBorders>
              <w:top w:val="double" w:sz="4" w:space="0" w:color="auto"/>
              <w:bottom w:val="double" w:sz="4" w:space="0" w:color="auto"/>
            </w:tcBorders>
            <w:shd w:val="clear" w:color="auto" w:fill="002060"/>
            <w:vAlign w:val="center"/>
          </w:tcPr>
          <w:p w:rsidR="006132B8" w:rsidRPr="00BD51C4" w:rsidRDefault="006132B8" w:rsidP="00520911">
            <w:pPr>
              <w:spacing w:before="120" w:after="120"/>
              <w:jc w:val="center"/>
              <w:rPr>
                <w:b/>
                <w:bCs/>
                <w:smallCaps/>
                <w:color w:val="FFC000"/>
              </w:rPr>
            </w:pPr>
            <w:r>
              <w:rPr>
                <w:b/>
                <w:bCs/>
                <w:smallCaps/>
                <w:color w:val="FFC000"/>
              </w:rPr>
              <w:t>RFP</w:t>
            </w:r>
            <w:r w:rsidRPr="00BD51C4">
              <w:rPr>
                <w:b/>
                <w:bCs/>
                <w:smallCaps/>
                <w:color w:val="FFC000"/>
              </w:rPr>
              <w:t xml:space="preserve"> Page</w:t>
            </w:r>
          </w:p>
        </w:tc>
        <w:tc>
          <w:tcPr>
            <w:tcW w:w="548" w:type="pct"/>
            <w:tcBorders>
              <w:top w:val="double" w:sz="4" w:space="0" w:color="auto"/>
              <w:bottom w:val="double" w:sz="4" w:space="0" w:color="auto"/>
            </w:tcBorders>
            <w:shd w:val="clear" w:color="auto" w:fill="002060"/>
            <w:vAlign w:val="center"/>
          </w:tcPr>
          <w:p w:rsidR="006132B8" w:rsidRPr="00BD51C4" w:rsidRDefault="006132B8" w:rsidP="00520911">
            <w:pPr>
              <w:spacing w:before="120" w:after="120"/>
              <w:jc w:val="center"/>
              <w:rPr>
                <w:b/>
                <w:bCs/>
                <w:smallCaps/>
                <w:color w:val="FFC000"/>
              </w:rPr>
            </w:pPr>
            <w:r>
              <w:rPr>
                <w:b/>
                <w:bCs/>
                <w:smallCaps/>
                <w:color w:val="FFC000"/>
              </w:rPr>
              <w:t xml:space="preserve">RFP </w:t>
            </w:r>
            <w:r w:rsidRPr="00BD51C4">
              <w:rPr>
                <w:b/>
                <w:bCs/>
                <w:smallCaps/>
                <w:color w:val="FFC000"/>
              </w:rPr>
              <w:t>Section</w:t>
            </w:r>
          </w:p>
        </w:tc>
        <w:tc>
          <w:tcPr>
            <w:tcW w:w="3709" w:type="pct"/>
            <w:tcBorders>
              <w:top w:val="double" w:sz="4" w:space="0" w:color="auto"/>
              <w:bottom w:val="double" w:sz="4" w:space="0" w:color="auto"/>
            </w:tcBorders>
            <w:shd w:val="clear" w:color="auto" w:fill="002060"/>
            <w:vAlign w:val="center"/>
          </w:tcPr>
          <w:p w:rsidR="006132B8" w:rsidRPr="00BD51C4" w:rsidRDefault="006132B8" w:rsidP="00520911">
            <w:pPr>
              <w:spacing w:before="120" w:after="120"/>
              <w:rPr>
                <w:b/>
                <w:bCs/>
                <w:smallCaps/>
                <w:color w:val="FFC000"/>
              </w:rPr>
            </w:pPr>
            <w:r>
              <w:rPr>
                <w:b/>
                <w:bCs/>
                <w:smallCaps/>
                <w:color w:val="FFC000"/>
              </w:rPr>
              <w:t>RFP Section Text or General Description</w:t>
            </w:r>
          </w:p>
        </w:tc>
      </w:tr>
      <w:tr w:rsidR="006132B8" w:rsidTr="00C95C4E">
        <w:trPr>
          <w:trHeight w:val="144"/>
        </w:trPr>
        <w:tc>
          <w:tcPr>
            <w:tcW w:w="253" w:type="pct"/>
            <w:tcBorders>
              <w:top w:val="double" w:sz="4" w:space="0" w:color="auto"/>
            </w:tcBorders>
            <w:vAlign w:val="center"/>
          </w:tcPr>
          <w:p w:rsidR="006132B8" w:rsidRDefault="006132B8" w:rsidP="00520911">
            <w:pPr>
              <w:spacing w:before="60" w:after="60"/>
            </w:pPr>
            <w:r>
              <w:t>1</w:t>
            </w:r>
          </w:p>
        </w:tc>
        <w:tc>
          <w:tcPr>
            <w:tcW w:w="490" w:type="pct"/>
            <w:tcBorders>
              <w:top w:val="double" w:sz="4" w:space="0" w:color="auto"/>
            </w:tcBorders>
            <w:vAlign w:val="center"/>
          </w:tcPr>
          <w:p w:rsidR="006132B8" w:rsidRDefault="00734B31" w:rsidP="00520911">
            <w:pPr>
              <w:spacing w:before="60" w:after="60"/>
              <w:jc w:val="center"/>
            </w:pPr>
            <w:r>
              <w:t>N/A</w:t>
            </w:r>
          </w:p>
        </w:tc>
        <w:tc>
          <w:tcPr>
            <w:tcW w:w="548" w:type="pct"/>
            <w:tcBorders>
              <w:top w:val="double" w:sz="4" w:space="0" w:color="auto"/>
            </w:tcBorders>
            <w:vAlign w:val="center"/>
          </w:tcPr>
          <w:p w:rsidR="006132B8" w:rsidRDefault="00734B31" w:rsidP="00520911">
            <w:pPr>
              <w:spacing w:before="60" w:after="60"/>
              <w:jc w:val="center"/>
            </w:pPr>
            <w:r>
              <w:t>N/A</w:t>
            </w:r>
          </w:p>
        </w:tc>
        <w:tc>
          <w:tcPr>
            <w:tcW w:w="3709" w:type="pct"/>
            <w:tcBorders>
              <w:top w:val="double" w:sz="4" w:space="0" w:color="auto"/>
            </w:tcBorders>
            <w:vAlign w:val="center"/>
          </w:tcPr>
          <w:p w:rsidR="006132B8" w:rsidRDefault="00734B31" w:rsidP="00C95C4E">
            <w:pPr>
              <w:spacing w:before="60" w:after="60"/>
            </w:pPr>
            <w:r>
              <w:t>General question.</w:t>
            </w:r>
          </w:p>
        </w:tc>
      </w:tr>
      <w:tr w:rsidR="006132B8" w:rsidTr="00CB09B7">
        <w:trPr>
          <w:trHeight w:val="144"/>
        </w:trPr>
        <w:tc>
          <w:tcPr>
            <w:tcW w:w="253" w:type="pct"/>
            <w:vAlign w:val="center"/>
          </w:tcPr>
          <w:p w:rsidR="006132B8" w:rsidRDefault="006132B8" w:rsidP="00520911">
            <w:pPr>
              <w:spacing w:before="60" w:after="60"/>
            </w:pPr>
            <w:r>
              <w:t>Q1</w:t>
            </w:r>
          </w:p>
        </w:tc>
        <w:tc>
          <w:tcPr>
            <w:tcW w:w="4747" w:type="pct"/>
            <w:gridSpan w:val="3"/>
            <w:vAlign w:val="center"/>
          </w:tcPr>
          <w:p w:rsidR="006132B8" w:rsidRDefault="006132B8" w:rsidP="00520911">
            <w:pPr>
              <w:spacing w:before="60" w:after="60"/>
            </w:pPr>
            <w:r w:rsidRPr="006132B8">
              <w:t>Is there an incumbent vendor, or IT company, for whom this project is intended?</w:t>
            </w:r>
          </w:p>
        </w:tc>
      </w:tr>
      <w:tr w:rsidR="006132B8" w:rsidTr="00CB09B7">
        <w:trPr>
          <w:trHeight w:val="144"/>
        </w:trPr>
        <w:tc>
          <w:tcPr>
            <w:tcW w:w="253" w:type="pct"/>
            <w:vAlign w:val="center"/>
          </w:tcPr>
          <w:p w:rsidR="006132B8" w:rsidRDefault="006132B8" w:rsidP="00520911">
            <w:pPr>
              <w:spacing w:before="60" w:after="60"/>
            </w:pPr>
            <w:r>
              <w:t>A1</w:t>
            </w:r>
          </w:p>
        </w:tc>
        <w:tc>
          <w:tcPr>
            <w:tcW w:w="4747" w:type="pct"/>
            <w:gridSpan w:val="3"/>
            <w:vAlign w:val="center"/>
          </w:tcPr>
          <w:p w:rsidR="006132B8" w:rsidRDefault="00734B31" w:rsidP="006A2826">
            <w:pPr>
              <w:spacing w:before="60" w:after="60"/>
            </w:pPr>
            <w:r w:rsidRPr="00734B31">
              <w:t>No</w:t>
            </w:r>
            <w:r>
              <w:t xml:space="preserve"> there is not.  </w:t>
            </w:r>
          </w:p>
        </w:tc>
      </w:tr>
      <w:tr w:rsidR="006132B8" w:rsidTr="00C95C4E">
        <w:trPr>
          <w:trHeight w:val="144"/>
        </w:trPr>
        <w:tc>
          <w:tcPr>
            <w:tcW w:w="253" w:type="pct"/>
            <w:vAlign w:val="center"/>
          </w:tcPr>
          <w:p w:rsidR="006132B8" w:rsidRDefault="006132B8" w:rsidP="00520911">
            <w:pPr>
              <w:spacing w:before="60" w:after="60"/>
            </w:pPr>
            <w:r>
              <w:t>2</w:t>
            </w:r>
          </w:p>
        </w:tc>
        <w:tc>
          <w:tcPr>
            <w:tcW w:w="490" w:type="pct"/>
            <w:vAlign w:val="center"/>
          </w:tcPr>
          <w:p w:rsidR="006132B8" w:rsidRDefault="00734B31" w:rsidP="00520911">
            <w:pPr>
              <w:spacing w:before="60" w:after="60"/>
              <w:jc w:val="center"/>
            </w:pPr>
            <w:r>
              <w:t>18</w:t>
            </w:r>
          </w:p>
        </w:tc>
        <w:tc>
          <w:tcPr>
            <w:tcW w:w="548" w:type="pct"/>
            <w:vAlign w:val="center"/>
          </w:tcPr>
          <w:p w:rsidR="006132B8" w:rsidRDefault="00734B31" w:rsidP="00520911">
            <w:pPr>
              <w:spacing w:before="60" w:after="60"/>
              <w:jc w:val="center"/>
            </w:pPr>
            <w:r>
              <w:t>3.1</w:t>
            </w:r>
          </w:p>
        </w:tc>
        <w:tc>
          <w:tcPr>
            <w:tcW w:w="3709" w:type="pct"/>
            <w:vAlign w:val="center"/>
          </w:tcPr>
          <w:p w:rsidR="006132B8" w:rsidRDefault="00734B31" w:rsidP="00520911">
            <w:pPr>
              <w:spacing w:before="60" w:after="60"/>
            </w:pPr>
            <w:r>
              <w:t>I</w:t>
            </w:r>
            <w:r w:rsidRPr="00734B31">
              <w:t>tem 6, "Staff Location Plan": "Proposer must describe its approach for creating a presence at ETF, including the location of vendor and equipment."</w:t>
            </w:r>
          </w:p>
        </w:tc>
      </w:tr>
      <w:tr w:rsidR="00734B31" w:rsidTr="00CB09B7">
        <w:trPr>
          <w:trHeight w:val="144"/>
        </w:trPr>
        <w:tc>
          <w:tcPr>
            <w:tcW w:w="253" w:type="pct"/>
            <w:vAlign w:val="center"/>
          </w:tcPr>
          <w:p w:rsidR="00734B31" w:rsidRDefault="00734B31" w:rsidP="00520911">
            <w:pPr>
              <w:spacing w:before="60" w:after="60"/>
            </w:pPr>
            <w:r>
              <w:t>Q2</w:t>
            </w:r>
          </w:p>
        </w:tc>
        <w:tc>
          <w:tcPr>
            <w:tcW w:w="4747" w:type="pct"/>
            <w:gridSpan w:val="3"/>
            <w:vAlign w:val="center"/>
          </w:tcPr>
          <w:p w:rsidR="00734B31" w:rsidRDefault="00734B31" w:rsidP="00520911">
            <w:pPr>
              <w:spacing w:before="60" w:after="60"/>
            </w:pPr>
            <w:r w:rsidRPr="00734B31">
              <w:t>Will ETF support 3 FT personnel, subcontracted, to serve as: Project Manager, DBA, and Data Manager, on-site?</w:t>
            </w:r>
          </w:p>
        </w:tc>
      </w:tr>
      <w:tr w:rsidR="006132B8" w:rsidTr="00CB09B7">
        <w:trPr>
          <w:trHeight w:val="144"/>
        </w:trPr>
        <w:tc>
          <w:tcPr>
            <w:tcW w:w="253" w:type="pct"/>
            <w:vAlign w:val="center"/>
          </w:tcPr>
          <w:p w:rsidR="006132B8" w:rsidRDefault="006132B8" w:rsidP="00520911">
            <w:pPr>
              <w:spacing w:before="60" w:after="60"/>
            </w:pPr>
            <w:r>
              <w:t>A2</w:t>
            </w:r>
          </w:p>
        </w:tc>
        <w:tc>
          <w:tcPr>
            <w:tcW w:w="4747" w:type="pct"/>
            <w:gridSpan w:val="3"/>
            <w:vAlign w:val="center"/>
          </w:tcPr>
          <w:p w:rsidR="006132B8" w:rsidRDefault="00734B31" w:rsidP="00734B31">
            <w:pPr>
              <w:spacing w:before="60" w:after="60"/>
            </w:pPr>
            <w:r w:rsidRPr="00734B31">
              <w:t xml:space="preserve">Yes – </w:t>
            </w:r>
            <w:r>
              <w:t xml:space="preserve">ETF will provide </w:t>
            </w:r>
            <w:r w:rsidRPr="00734B31">
              <w:t>desk space</w:t>
            </w:r>
            <w:r>
              <w:t xml:space="preserve"> for all resources.  The RFP also </w:t>
            </w:r>
            <w:r w:rsidRPr="00734B31">
              <w:t xml:space="preserve">provided the option of the vendor using their laptops/notebooks and/or </w:t>
            </w:r>
            <w:r>
              <w:t>use ETF provided</w:t>
            </w:r>
            <w:r w:rsidRPr="00734B31">
              <w:t xml:space="preserve"> equipment.</w:t>
            </w:r>
          </w:p>
        </w:tc>
      </w:tr>
      <w:tr w:rsidR="006132B8" w:rsidTr="00C95C4E">
        <w:trPr>
          <w:trHeight w:val="144"/>
        </w:trPr>
        <w:tc>
          <w:tcPr>
            <w:tcW w:w="253" w:type="pct"/>
            <w:vAlign w:val="center"/>
          </w:tcPr>
          <w:p w:rsidR="006132B8" w:rsidRDefault="006132B8" w:rsidP="00520911">
            <w:pPr>
              <w:spacing w:before="60" w:after="60"/>
            </w:pPr>
            <w:r>
              <w:t>3</w:t>
            </w:r>
          </w:p>
        </w:tc>
        <w:tc>
          <w:tcPr>
            <w:tcW w:w="490" w:type="pct"/>
            <w:vAlign w:val="center"/>
          </w:tcPr>
          <w:p w:rsidR="006132B8" w:rsidRDefault="00CB09B7" w:rsidP="00520911">
            <w:pPr>
              <w:spacing w:before="60" w:after="60"/>
              <w:jc w:val="center"/>
            </w:pPr>
            <w:r>
              <w:t>18</w:t>
            </w:r>
          </w:p>
        </w:tc>
        <w:tc>
          <w:tcPr>
            <w:tcW w:w="548" w:type="pct"/>
            <w:vAlign w:val="center"/>
          </w:tcPr>
          <w:p w:rsidR="006132B8" w:rsidRDefault="00CB09B7" w:rsidP="00520911">
            <w:pPr>
              <w:spacing w:before="60" w:after="60"/>
              <w:jc w:val="center"/>
            </w:pPr>
            <w:r>
              <w:t>3.1</w:t>
            </w:r>
          </w:p>
        </w:tc>
        <w:tc>
          <w:tcPr>
            <w:tcW w:w="3709" w:type="pct"/>
            <w:vAlign w:val="center"/>
          </w:tcPr>
          <w:p w:rsidR="006132B8" w:rsidRDefault="00CB09B7" w:rsidP="00520911">
            <w:pPr>
              <w:spacing w:before="60" w:after="60"/>
            </w:pPr>
            <w:r>
              <w:t>I</w:t>
            </w:r>
            <w:r w:rsidRPr="00CB09B7">
              <w:t>tem 7, "Proposer must provide assurance that any of its staff not physically located in Madison, will be available to ensure that the project schedule will be met, including a discussion of other projects to which they may be simultaneously assigned.</w:t>
            </w:r>
          </w:p>
        </w:tc>
      </w:tr>
      <w:tr w:rsidR="00734B31" w:rsidTr="00CB09B7">
        <w:trPr>
          <w:trHeight w:val="144"/>
        </w:trPr>
        <w:tc>
          <w:tcPr>
            <w:tcW w:w="253" w:type="pct"/>
            <w:vAlign w:val="center"/>
          </w:tcPr>
          <w:p w:rsidR="00734B31" w:rsidRDefault="00734B31" w:rsidP="00520911">
            <w:pPr>
              <w:spacing w:before="60" w:after="60"/>
            </w:pPr>
            <w:r>
              <w:t>Q3</w:t>
            </w:r>
          </w:p>
        </w:tc>
        <w:tc>
          <w:tcPr>
            <w:tcW w:w="4747" w:type="pct"/>
            <w:gridSpan w:val="3"/>
            <w:vAlign w:val="center"/>
          </w:tcPr>
          <w:p w:rsidR="00734B31" w:rsidRDefault="00CB09B7" w:rsidP="00520911">
            <w:pPr>
              <w:spacing w:before="60" w:after="60"/>
            </w:pPr>
            <w:r w:rsidRPr="00CB09B7">
              <w:t>Would ETF consider contractor’s site, using dedicated lines, dedicated FT personnel, secure/private and dedicated hardware/software, dedicated phone, as cost-cutting effort?</w:t>
            </w:r>
          </w:p>
        </w:tc>
      </w:tr>
      <w:tr w:rsidR="006132B8" w:rsidTr="00CB09B7">
        <w:trPr>
          <w:trHeight w:val="144"/>
        </w:trPr>
        <w:tc>
          <w:tcPr>
            <w:tcW w:w="253" w:type="pct"/>
            <w:vAlign w:val="center"/>
          </w:tcPr>
          <w:p w:rsidR="006132B8" w:rsidRDefault="006132B8" w:rsidP="00520911">
            <w:pPr>
              <w:spacing w:before="60" w:after="60"/>
            </w:pPr>
            <w:r>
              <w:t>A3</w:t>
            </w:r>
          </w:p>
        </w:tc>
        <w:tc>
          <w:tcPr>
            <w:tcW w:w="4747" w:type="pct"/>
            <w:gridSpan w:val="3"/>
            <w:vAlign w:val="center"/>
          </w:tcPr>
          <w:p w:rsidR="006132B8" w:rsidRDefault="00CB09B7" w:rsidP="00CB09B7">
            <w:pPr>
              <w:spacing w:before="60" w:after="60"/>
            </w:pPr>
            <w:r w:rsidRPr="00CB09B7">
              <w:t xml:space="preserve">No – ETF requires that all work </w:t>
            </w:r>
            <w:r>
              <w:t>with ETF data be performed on-site at ETF</w:t>
            </w:r>
            <w:r w:rsidRPr="00CB09B7">
              <w:t>.</w:t>
            </w:r>
          </w:p>
        </w:tc>
      </w:tr>
      <w:tr w:rsidR="006132B8" w:rsidTr="00C95C4E">
        <w:trPr>
          <w:trHeight w:val="144"/>
        </w:trPr>
        <w:tc>
          <w:tcPr>
            <w:tcW w:w="253" w:type="pct"/>
            <w:vAlign w:val="center"/>
          </w:tcPr>
          <w:p w:rsidR="006132B8" w:rsidRDefault="006132B8" w:rsidP="00520911">
            <w:pPr>
              <w:spacing w:before="60" w:after="60"/>
            </w:pPr>
            <w:r>
              <w:t>4</w:t>
            </w:r>
          </w:p>
        </w:tc>
        <w:tc>
          <w:tcPr>
            <w:tcW w:w="490" w:type="pct"/>
            <w:vAlign w:val="center"/>
          </w:tcPr>
          <w:p w:rsidR="006132B8" w:rsidRDefault="00CB09B7" w:rsidP="00520911">
            <w:pPr>
              <w:spacing w:before="60" w:after="60"/>
              <w:jc w:val="center"/>
            </w:pPr>
            <w:r>
              <w:t>19</w:t>
            </w:r>
          </w:p>
        </w:tc>
        <w:tc>
          <w:tcPr>
            <w:tcW w:w="548" w:type="pct"/>
            <w:vAlign w:val="center"/>
          </w:tcPr>
          <w:p w:rsidR="006132B8" w:rsidRDefault="00CB09B7" w:rsidP="00520911">
            <w:pPr>
              <w:spacing w:before="60" w:after="60"/>
              <w:jc w:val="center"/>
            </w:pPr>
            <w:r>
              <w:t>3.2.1</w:t>
            </w:r>
          </w:p>
        </w:tc>
        <w:tc>
          <w:tcPr>
            <w:tcW w:w="3709" w:type="pct"/>
            <w:vAlign w:val="center"/>
          </w:tcPr>
          <w:p w:rsidR="006132B8" w:rsidRDefault="00CB09B7" w:rsidP="00520911">
            <w:pPr>
              <w:spacing w:before="60" w:after="60"/>
            </w:pPr>
            <w:r w:rsidRPr="00CB09B7">
              <w:t>"Successful vendor or vendor's key primary consultant must have: 1. Performed data cleansing of Public Retirement member data in at least three other public retirement systems of similar complexity....In support of the above requirements...a detailed description of the three similar past projects...</w:t>
            </w:r>
          </w:p>
        </w:tc>
      </w:tr>
      <w:tr w:rsidR="00734B31" w:rsidTr="00CB09B7">
        <w:trPr>
          <w:trHeight w:val="144"/>
        </w:trPr>
        <w:tc>
          <w:tcPr>
            <w:tcW w:w="253" w:type="pct"/>
            <w:vAlign w:val="center"/>
          </w:tcPr>
          <w:p w:rsidR="00734B31" w:rsidRDefault="00734B31" w:rsidP="00520911">
            <w:pPr>
              <w:spacing w:before="60" w:after="60"/>
            </w:pPr>
            <w:r>
              <w:t>Q4</w:t>
            </w:r>
          </w:p>
        </w:tc>
        <w:tc>
          <w:tcPr>
            <w:tcW w:w="4747" w:type="pct"/>
            <w:gridSpan w:val="3"/>
            <w:vAlign w:val="center"/>
          </w:tcPr>
          <w:p w:rsidR="00734B31" w:rsidRDefault="00CB09B7" w:rsidP="00520911">
            <w:pPr>
              <w:pStyle w:val="Footer"/>
              <w:tabs>
                <w:tab w:val="clear" w:pos="4320"/>
              </w:tabs>
              <w:spacing w:before="60" w:after="60"/>
            </w:pPr>
            <w:r w:rsidRPr="00CB09B7">
              <w:t>While our companies have not had contracts specific to "public retirement member data", we have a rich and diverse experience in: data intelligence (name, address, SSN,...), data validation, fraud detection, identity validation, scrubbing, integrating, appending data for numerous agencies, businesses and government.  We have a contract with U.S. Census Bureau for similar requirements as outlined in this RFP.  We have proprietary databases such as Tracker, with access to 1.5 billion addresses.  Would ETF consider such capabilities in lieu of specific experience with "public retirement member data"? If not, we will be happy to provide a consultant, dedicated to ETF.</w:t>
            </w:r>
          </w:p>
        </w:tc>
      </w:tr>
      <w:tr w:rsidR="006132B8" w:rsidTr="00CB09B7">
        <w:trPr>
          <w:trHeight w:val="144"/>
        </w:trPr>
        <w:tc>
          <w:tcPr>
            <w:tcW w:w="253" w:type="pct"/>
            <w:vAlign w:val="center"/>
          </w:tcPr>
          <w:p w:rsidR="006132B8" w:rsidRDefault="006132B8" w:rsidP="00520911">
            <w:pPr>
              <w:spacing w:before="60" w:after="60"/>
            </w:pPr>
            <w:r>
              <w:t>A4</w:t>
            </w:r>
          </w:p>
        </w:tc>
        <w:tc>
          <w:tcPr>
            <w:tcW w:w="4747" w:type="pct"/>
            <w:gridSpan w:val="3"/>
            <w:vAlign w:val="center"/>
          </w:tcPr>
          <w:p w:rsidR="006132B8" w:rsidRDefault="00CB09B7" w:rsidP="00CB09B7">
            <w:pPr>
              <w:pStyle w:val="Footer"/>
              <w:tabs>
                <w:tab w:val="clear" w:pos="4320"/>
              </w:tabs>
              <w:spacing w:before="60" w:after="60"/>
            </w:pPr>
            <w:r w:rsidRPr="00CB09B7">
              <w:t>Refer to Appendix B and the instructions referencing Tab 5.</w:t>
            </w:r>
          </w:p>
        </w:tc>
      </w:tr>
      <w:tr w:rsidR="00CB09B7" w:rsidTr="00C95C4E">
        <w:trPr>
          <w:trHeight w:val="144"/>
        </w:trPr>
        <w:tc>
          <w:tcPr>
            <w:tcW w:w="253" w:type="pct"/>
            <w:vAlign w:val="center"/>
          </w:tcPr>
          <w:p w:rsidR="00CB09B7" w:rsidRDefault="00CB09B7" w:rsidP="00520911">
            <w:pPr>
              <w:spacing w:before="60" w:after="60"/>
            </w:pPr>
            <w:r>
              <w:t>5</w:t>
            </w:r>
          </w:p>
        </w:tc>
        <w:tc>
          <w:tcPr>
            <w:tcW w:w="490" w:type="pct"/>
            <w:vAlign w:val="center"/>
          </w:tcPr>
          <w:p w:rsidR="00CB09B7" w:rsidRDefault="00C95C4E" w:rsidP="00520911">
            <w:pPr>
              <w:spacing w:before="60" w:after="60"/>
              <w:jc w:val="center"/>
            </w:pPr>
            <w:r>
              <w:t>N/A</w:t>
            </w:r>
          </w:p>
        </w:tc>
        <w:tc>
          <w:tcPr>
            <w:tcW w:w="548" w:type="pct"/>
            <w:vAlign w:val="center"/>
          </w:tcPr>
          <w:p w:rsidR="00CB09B7" w:rsidRDefault="00C95C4E" w:rsidP="00C95C4E">
            <w:pPr>
              <w:spacing w:before="60" w:after="60"/>
              <w:jc w:val="center"/>
            </w:pPr>
            <w:r>
              <w:t>N/A</w:t>
            </w:r>
          </w:p>
        </w:tc>
        <w:tc>
          <w:tcPr>
            <w:tcW w:w="3709" w:type="pct"/>
            <w:vAlign w:val="center"/>
          </w:tcPr>
          <w:p w:rsidR="00CB09B7" w:rsidRDefault="00C95C4E" w:rsidP="00520911">
            <w:pPr>
              <w:spacing w:before="60" w:after="60"/>
            </w:pPr>
            <w:r>
              <w:t>General Question</w:t>
            </w:r>
          </w:p>
        </w:tc>
      </w:tr>
      <w:tr w:rsidR="00CB09B7" w:rsidTr="00CB09B7">
        <w:trPr>
          <w:trHeight w:val="144"/>
        </w:trPr>
        <w:tc>
          <w:tcPr>
            <w:tcW w:w="253" w:type="pct"/>
            <w:vAlign w:val="center"/>
          </w:tcPr>
          <w:p w:rsidR="00CB09B7" w:rsidRDefault="00CB09B7" w:rsidP="00CB09B7">
            <w:pPr>
              <w:spacing w:before="60" w:after="60"/>
            </w:pPr>
            <w:r>
              <w:t>Q5</w:t>
            </w:r>
          </w:p>
        </w:tc>
        <w:tc>
          <w:tcPr>
            <w:tcW w:w="4747" w:type="pct"/>
            <w:gridSpan w:val="3"/>
            <w:vAlign w:val="center"/>
          </w:tcPr>
          <w:p w:rsidR="00CB09B7" w:rsidRDefault="00C95C4E" w:rsidP="00520911">
            <w:pPr>
              <w:pStyle w:val="Footer"/>
              <w:tabs>
                <w:tab w:val="clear" w:pos="4320"/>
              </w:tabs>
              <w:spacing w:before="60" w:after="60"/>
            </w:pPr>
            <w:r w:rsidRPr="00C95C4E">
              <w:t>What is the budgeted amount (range) for these services? This will help us determine: additional staffing/consulting, hardware, software purchase, and other resources.</w:t>
            </w:r>
          </w:p>
        </w:tc>
      </w:tr>
      <w:tr w:rsidR="00CB09B7" w:rsidTr="00CB09B7">
        <w:trPr>
          <w:trHeight w:val="144"/>
        </w:trPr>
        <w:tc>
          <w:tcPr>
            <w:tcW w:w="253" w:type="pct"/>
            <w:vAlign w:val="center"/>
          </w:tcPr>
          <w:p w:rsidR="00CB09B7" w:rsidRDefault="00CB09B7" w:rsidP="00520911">
            <w:pPr>
              <w:spacing w:before="60" w:after="60"/>
            </w:pPr>
            <w:r>
              <w:t>A5</w:t>
            </w:r>
          </w:p>
        </w:tc>
        <w:tc>
          <w:tcPr>
            <w:tcW w:w="4747" w:type="pct"/>
            <w:gridSpan w:val="3"/>
            <w:vAlign w:val="center"/>
          </w:tcPr>
          <w:p w:rsidR="00CB09B7" w:rsidRDefault="00C95C4E" w:rsidP="00520911">
            <w:pPr>
              <w:pStyle w:val="Footer"/>
              <w:tabs>
                <w:tab w:val="clear" w:pos="4320"/>
              </w:tabs>
              <w:spacing w:before="60" w:after="60"/>
            </w:pPr>
            <w:r w:rsidRPr="00C95C4E">
              <w:t>As stated in the RFP, each proposer will provide their own cost proposal (Appendix F) for performing the work as outlined in the RFP.</w:t>
            </w:r>
          </w:p>
        </w:tc>
      </w:tr>
      <w:tr w:rsidR="00C95C4E" w:rsidTr="00C95C4E">
        <w:trPr>
          <w:trHeight w:val="144"/>
        </w:trPr>
        <w:tc>
          <w:tcPr>
            <w:tcW w:w="253" w:type="pct"/>
            <w:vAlign w:val="center"/>
          </w:tcPr>
          <w:p w:rsidR="00C95C4E" w:rsidRDefault="00C95C4E" w:rsidP="00520911">
            <w:pPr>
              <w:spacing w:before="60" w:after="60"/>
            </w:pPr>
            <w:r>
              <w:t>6</w:t>
            </w:r>
          </w:p>
        </w:tc>
        <w:tc>
          <w:tcPr>
            <w:tcW w:w="490" w:type="pct"/>
            <w:vAlign w:val="center"/>
          </w:tcPr>
          <w:p w:rsidR="00C95C4E" w:rsidRDefault="00C95C4E" w:rsidP="00520911">
            <w:pPr>
              <w:spacing w:before="60" w:after="60"/>
              <w:jc w:val="center"/>
            </w:pPr>
            <w:r>
              <w:t>N/A</w:t>
            </w:r>
          </w:p>
        </w:tc>
        <w:tc>
          <w:tcPr>
            <w:tcW w:w="548" w:type="pct"/>
            <w:vAlign w:val="center"/>
          </w:tcPr>
          <w:p w:rsidR="00C95C4E" w:rsidRDefault="00C95C4E" w:rsidP="00C95C4E">
            <w:pPr>
              <w:spacing w:before="60" w:after="60"/>
              <w:jc w:val="center"/>
            </w:pPr>
            <w:r>
              <w:t>N/A</w:t>
            </w:r>
          </w:p>
        </w:tc>
        <w:tc>
          <w:tcPr>
            <w:tcW w:w="3709" w:type="pct"/>
            <w:vAlign w:val="center"/>
          </w:tcPr>
          <w:p w:rsidR="00C95C4E" w:rsidRDefault="00C95C4E" w:rsidP="00520911">
            <w:pPr>
              <w:spacing w:before="60" w:after="60"/>
            </w:pPr>
            <w:r>
              <w:t>General Question</w:t>
            </w:r>
          </w:p>
        </w:tc>
      </w:tr>
      <w:tr w:rsidR="00C95C4E" w:rsidTr="00520911">
        <w:trPr>
          <w:trHeight w:val="144"/>
        </w:trPr>
        <w:tc>
          <w:tcPr>
            <w:tcW w:w="253" w:type="pct"/>
            <w:vAlign w:val="center"/>
          </w:tcPr>
          <w:p w:rsidR="00C95C4E" w:rsidRDefault="00C95C4E" w:rsidP="00C95C4E">
            <w:pPr>
              <w:spacing w:before="60" w:after="60"/>
            </w:pPr>
            <w:r>
              <w:t>Q6</w:t>
            </w:r>
          </w:p>
        </w:tc>
        <w:tc>
          <w:tcPr>
            <w:tcW w:w="4747" w:type="pct"/>
            <w:gridSpan w:val="3"/>
            <w:vAlign w:val="center"/>
          </w:tcPr>
          <w:p w:rsidR="00C95C4E" w:rsidRDefault="00C95C4E" w:rsidP="00520911">
            <w:pPr>
              <w:pStyle w:val="Footer"/>
              <w:tabs>
                <w:tab w:val="clear" w:pos="4320"/>
              </w:tabs>
              <w:spacing w:before="60" w:after="60"/>
            </w:pPr>
            <w:r w:rsidRPr="00C95C4E">
              <w:t>I am requesting your written consent to subcontract/joint venture/team with an outside IT company for services, personnel, detailed in RFP ETC0007.</w:t>
            </w:r>
          </w:p>
        </w:tc>
      </w:tr>
      <w:tr w:rsidR="00C95C4E" w:rsidTr="00C95C4E">
        <w:trPr>
          <w:trHeight w:val="144"/>
        </w:trPr>
        <w:tc>
          <w:tcPr>
            <w:tcW w:w="253" w:type="pct"/>
            <w:tcBorders>
              <w:top w:val="single" w:sz="2" w:space="0" w:color="auto"/>
              <w:left w:val="double" w:sz="4" w:space="0" w:color="auto"/>
              <w:bottom w:val="double" w:sz="4" w:space="0" w:color="auto"/>
              <w:right w:val="single" w:sz="2" w:space="0" w:color="auto"/>
            </w:tcBorders>
            <w:vAlign w:val="center"/>
          </w:tcPr>
          <w:p w:rsidR="00C95C4E" w:rsidRDefault="00C95C4E" w:rsidP="00C95C4E">
            <w:pPr>
              <w:spacing w:before="60" w:after="60"/>
            </w:pPr>
            <w:r>
              <w:t>A6</w:t>
            </w:r>
          </w:p>
        </w:tc>
        <w:tc>
          <w:tcPr>
            <w:tcW w:w="4747" w:type="pct"/>
            <w:gridSpan w:val="3"/>
            <w:tcBorders>
              <w:top w:val="single" w:sz="2" w:space="0" w:color="auto"/>
              <w:left w:val="single" w:sz="2" w:space="0" w:color="auto"/>
              <w:bottom w:val="double" w:sz="4" w:space="0" w:color="auto"/>
              <w:right w:val="double" w:sz="4" w:space="0" w:color="auto"/>
            </w:tcBorders>
            <w:vAlign w:val="center"/>
          </w:tcPr>
          <w:p w:rsidR="00C95C4E" w:rsidRDefault="00C95C4E" w:rsidP="00774B73">
            <w:pPr>
              <w:pStyle w:val="Footer"/>
              <w:tabs>
                <w:tab w:val="clear" w:pos="4320"/>
              </w:tabs>
              <w:spacing w:before="60" w:after="60"/>
            </w:pPr>
            <w:r w:rsidRPr="00C95C4E">
              <w:t xml:space="preserve">ETF’s relationship with subcontractors is defined throughout the RFP. The contractual relationship </w:t>
            </w:r>
            <w:r w:rsidR="00E8443C">
              <w:t>will</w:t>
            </w:r>
            <w:r w:rsidRPr="00C95C4E">
              <w:t xml:space="preserve"> be defined at the time a contract is signed</w:t>
            </w:r>
            <w:r w:rsidR="007E0806">
              <w:t>.</w:t>
            </w:r>
          </w:p>
        </w:tc>
      </w:tr>
    </w:tbl>
    <w:p w:rsidR="001A74E3" w:rsidRDefault="001A74E3" w:rsidP="00C95C4E">
      <w:bookmarkStart w:id="0" w:name="_GoBack"/>
      <w:bookmarkEnd w:id="0"/>
    </w:p>
    <w:sectPr w:rsidR="001A74E3" w:rsidSect="001F687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806" w:rsidRDefault="007E0806" w:rsidP="007E0806">
      <w:r>
        <w:separator/>
      </w:r>
    </w:p>
  </w:endnote>
  <w:endnote w:type="continuationSeparator" w:id="0">
    <w:p w:rsidR="007E0806" w:rsidRDefault="007E0806" w:rsidP="007E08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89C" w:rsidRDefault="007C18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89C" w:rsidRDefault="007C18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89C" w:rsidRDefault="007C18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806" w:rsidRDefault="007E0806" w:rsidP="007E0806">
      <w:r>
        <w:separator/>
      </w:r>
    </w:p>
  </w:footnote>
  <w:footnote w:type="continuationSeparator" w:id="0">
    <w:p w:rsidR="007E0806" w:rsidRDefault="007E0806" w:rsidP="007E08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89C" w:rsidRDefault="007C18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06" w:rsidRPr="007E0806" w:rsidRDefault="007C189C" w:rsidP="007E0806">
    <w:pPr>
      <w:pStyle w:val="Header"/>
      <w:jc w:val="center"/>
      <w:rPr>
        <w:rFonts w:ascii="Arial" w:hAnsi="Arial" w:cs="Arial"/>
      </w:rPr>
    </w:pPr>
    <w:r>
      <w:rPr>
        <w:rFonts w:ascii="Arial" w:hAnsi="Arial" w:cs="Arial"/>
      </w:rPr>
      <w:t xml:space="preserve">Questions &amp; </w:t>
    </w:r>
    <w:r>
      <w:rPr>
        <w:rFonts w:ascii="Arial" w:hAnsi="Arial" w:cs="Arial"/>
      </w:rPr>
      <w:t>Answers Set 1 October 9</w:t>
    </w:r>
    <w:r w:rsidR="007E0806" w:rsidRPr="007E0806">
      <w:rPr>
        <w:rFonts w:ascii="Arial" w:hAnsi="Arial" w:cs="Arial"/>
      </w:rPr>
      <w:t>, 2012</w:t>
    </w:r>
  </w:p>
  <w:p w:rsidR="007E0806" w:rsidRPr="007E0806" w:rsidRDefault="007E0806" w:rsidP="007E0806">
    <w:pPr>
      <w:pStyle w:val="Header"/>
      <w:jc w:val="center"/>
      <w:rPr>
        <w:rFonts w:ascii="Arial" w:hAnsi="Arial" w:cs="Arial"/>
      </w:rPr>
    </w:pPr>
    <w:r w:rsidRPr="007E0806">
      <w:rPr>
        <w:rFonts w:ascii="Arial" w:hAnsi="Arial" w:cs="Arial"/>
      </w:rPr>
      <w:t>ETC0007 Data Integrity Contract Services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89C" w:rsidRDefault="007C18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132B8"/>
    <w:rsid w:val="00001954"/>
    <w:rsid w:val="00002467"/>
    <w:rsid w:val="0001237A"/>
    <w:rsid w:val="00012594"/>
    <w:rsid w:val="00013608"/>
    <w:rsid w:val="00017C6D"/>
    <w:rsid w:val="0002260B"/>
    <w:rsid w:val="00023CB7"/>
    <w:rsid w:val="0002541A"/>
    <w:rsid w:val="0003013A"/>
    <w:rsid w:val="0004385A"/>
    <w:rsid w:val="000502B4"/>
    <w:rsid w:val="00056D02"/>
    <w:rsid w:val="000651E8"/>
    <w:rsid w:val="000655B9"/>
    <w:rsid w:val="00065B72"/>
    <w:rsid w:val="000702D0"/>
    <w:rsid w:val="000718AA"/>
    <w:rsid w:val="00071965"/>
    <w:rsid w:val="00073B35"/>
    <w:rsid w:val="0007695E"/>
    <w:rsid w:val="000770AB"/>
    <w:rsid w:val="00083FA4"/>
    <w:rsid w:val="00087FF7"/>
    <w:rsid w:val="00096CC5"/>
    <w:rsid w:val="00097C53"/>
    <w:rsid w:val="000A25EE"/>
    <w:rsid w:val="000A5CF2"/>
    <w:rsid w:val="000A7AB7"/>
    <w:rsid w:val="000C5519"/>
    <w:rsid w:val="000C6D5C"/>
    <w:rsid w:val="000D3FCC"/>
    <w:rsid w:val="000D7994"/>
    <w:rsid w:val="000E5F55"/>
    <w:rsid w:val="000E67CB"/>
    <w:rsid w:val="000F0DA4"/>
    <w:rsid w:val="000F12C0"/>
    <w:rsid w:val="00103887"/>
    <w:rsid w:val="00107CE2"/>
    <w:rsid w:val="00127332"/>
    <w:rsid w:val="00127E56"/>
    <w:rsid w:val="00133C6D"/>
    <w:rsid w:val="00142D57"/>
    <w:rsid w:val="00154588"/>
    <w:rsid w:val="00156074"/>
    <w:rsid w:val="001574AA"/>
    <w:rsid w:val="001610EE"/>
    <w:rsid w:val="001629C6"/>
    <w:rsid w:val="00165140"/>
    <w:rsid w:val="00170FC3"/>
    <w:rsid w:val="00181F6F"/>
    <w:rsid w:val="0018206D"/>
    <w:rsid w:val="0018312D"/>
    <w:rsid w:val="00183F7D"/>
    <w:rsid w:val="00185487"/>
    <w:rsid w:val="0018753C"/>
    <w:rsid w:val="001916C2"/>
    <w:rsid w:val="00193C8E"/>
    <w:rsid w:val="00194371"/>
    <w:rsid w:val="00197333"/>
    <w:rsid w:val="001A1310"/>
    <w:rsid w:val="001A57D5"/>
    <w:rsid w:val="001A6E2C"/>
    <w:rsid w:val="001A74E3"/>
    <w:rsid w:val="001B0A9C"/>
    <w:rsid w:val="001B146F"/>
    <w:rsid w:val="001B19DA"/>
    <w:rsid w:val="001B2E2F"/>
    <w:rsid w:val="001B4377"/>
    <w:rsid w:val="001B484C"/>
    <w:rsid w:val="001B4F8B"/>
    <w:rsid w:val="001C2075"/>
    <w:rsid w:val="001D262B"/>
    <w:rsid w:val="001D67D7"/>
    <w:rsid w:val="001E0521"/>
    <w:rsid w:val="001F3442"/>
    <w:rsid w:val="001F3680"/>
    <w:rsid w:val="001F6871"/>
    <w:rsid w:val="002108E0"/>
    <w:rsid w:val="00210E6D"/>
    <w:rsid w:val="00221D86"/>
    <w:rsid w:val="00222FA7"/>
    <w:rsid w:val="00224D5E"/>
    <w:rsid w:val="00232341"/>
    <w:rsid w:val="002356B1"/>
    <w:rsid w:val="0024631F"/>
    <w:rsid w:val="00246C3B"/>
    <w:rsid w:val="00246ED2"/>
    <w:rsid w:val="002561FB"/>
    <w:rsid w:val="002566F6"/>
    <w:rsid w:val="00256D3C"/>
    <w:rsid w:val="0026060C"/>
    <w:rsid w:val="00261A1A"/>
    <w:rsid w:val="002674E7"/>
    <w:rsid w:val="00274EDE"/>
    <w:rsid w:val="00276CC9"/>
    <w:rsid w:val="0027758C"/>
    <w:rsid w:val="00286252"/>
    <w:rsid w:val="0028679E"/>
    <w:rsid w:val="00293631"/>
    <w:rsid w:val="00293B52"/>
    <w:rsid w:val="002A1385"/>
    <w:rsid w:val="002A2C64"/>
    <w:rsid w:val="002A30EB"/>
    <w:rsid w:val="002A438C"/>
    <w:rsid w:val="002A4501"/>
    <w:rsid w:val="002B16BF"/>
    <w:rsid w:val="002B7C94"/>
    <w:rsid w:val="002C2722"/>
    <w:rsid w:val="002C55B5"/>
    <w:rsid w:val="002D1DCF"/>
    <w:rsid w:val="002D3C32"/>
    <w:rsid w:val="002D4243"/>
    <w:rsid w:val="002D481F"/>
    <w:rsid w:val="002D75EA"/>
    <w:rsid w:val="002D7D1A"/>
    <w:rsid w:val="002E3811"/>
    <w:rsid w:val="002E6D37"/>
    <w:rsid w:val="002F6D0B"/>
    <w:rsid w:val="002F7ADA"/>
    <w:rsid w:val="0030432A"/>
    <w:rsid w:val="0030524F"/>
    <w:rsid w:val="00307165"/>
    <w:rsid w:val="003153AF"/>
    <w:rsid w:val="003170F6"/>
    <w:rsid w:val="003223F4"/>
    <w:rsid w:val="00323848"/>
    <w:rsid w:val="00323F08"/>
    <w:rsid w:val="00330B6C"/>
    <w:rsid w:val="00336580"/>
    <w:rsid w:val="003410A5"/>
    <w:rsid w:val="00342607"/>
    <w:rsid w:val="003557CC"/>
    <w:rsid w:val="00356CE9"/>
    <w:rsid w:val="003609D6"/>
    <w:rsid w:val="003743ED"/>
    <w:rsid w:val="00386AED"/>
    <w:rsid w:val="003A1039"/>
    <w:rsid w:val="003A5214"/>
    <w:rsid w:val="003A615D"/>
    <w:rsid w:val="003C1C54"/>
    <w:rsid w:val="003C29DF"/>
    <w:rsid w:val="003D1D8D"/>
    <w:rsid w:val="003E0A67"/>
    <w:rsid w:val="003F22A3"/>
    <w:rsid w:val="003F3E9C"/>
    <w:rsid w:val="00401E4F"/>
    <w:rsid w:val="00407027"/>
    <w:rsid w:val="00412A29"/>
    <w:rsid w:val="00413C55"/>
    <w:rsid w:val="0042111E"/>
    <w:rsid w:val="00422B1C"/>
    <w:rsid w:val="00423269"/>
    <w:rsid w:val="00424BA7"/>
    <w:rsid w:val="00425721"/>
    <w:rsid w:val="004323E2"/>
    <w:rsid w:val="00434539"/>
    <w:rsid w:val="00441296"/>
    <w:rsid w:val="00442263"/>
    <w:rsid w:val="00450DF5"/>
    <w:rsid w:val="00451AFA"/>
    <w:rsid w:val="00454E65"/>
    <w:rsid w:val="00460F3E"/>
    <w:rsid w:val="00467EB1"/>
    <w:rsid w:val="00470678"/>
    <w:rsid w:val="00472ADD"/>
    <w:rsid w:val="00477902"/>
    <w:rsid w:val="00484745"/>
    <w:rsid w:val="00484D4A"/>
    <w:rsid w:val="0048751F"/>
    <w:rsid w:val="00495EFD"/>
    <w:rsid w:val="004A2052"/>
    <w:rsid w:val="004B22FA"/>
    <w:rsid w:val="004D4417"/>
    <w:rsid w:val="004D4E1A"/>
    <w:rsid w:val="004D71F9"/>
    <w:rsid w:val="004E2AFF"/>
    <w:rsid w:val="004E594D"/>
    <w:rsid w:val="00505D41"/>
    <w:rsid w:val="00507E0C"/>
    <w:rsid w:val="00510EC6"/>
    <w:rsid w:val="00514C42"/>
    <w:rsid w:val="0052178F"/>
    <w:rsid w:val="00524D0C"/>
    <w:rsid w:val="005277E1"/>
    <w:rsid w:val="00530417"/>
    <w:rsid w:val="00541FC5"/>
    <w:rsid w:val="00542D60"/>
    <w:rsid w:val="005514ED"/>
    <w:rsid w:val="005522EC"/>
    <w:rsid w:val="00552D3C"/>
    <w:rsid w:val="00552DF0"/>
    <w:rsid w:val="00555AA1"/>
    <w:rsid w:val="00556E2F"/>
    <w:rsid w:val="005619F0"/>
    <w:rsid w:val="00566DC8"/>
    <w:rsid w:val="00573AC9"/>
    <w:rsid w:val="00575521"/>
    <w:rsid w:val="00580262"/>
    <w:rsid w:val="0058054C"/>
    <w:rsid w:val="00580794"/>
    <w:rsid w:val="005834A8"/>
    <w:rsid w:val="00592E2D"/>
    <w:rsid w:val="0059661D"/>
    <w:rsid w:val="00597891"/>
    <w:rsid w:val="005A3C2B"/>
    <w:rsid w:val="005A708F"/>
    <w:rsid w:val="005B0A65"/>
    <w:rsid w:val="005C3AAA"/>
    <w:rsid w:val="005C7F9B"/>
    <w:rsid w:val="005D28C7"/>
    <w:rsid w:val="005D7D87"/>
    <w:rsid w:val="005E385B"/>
    <w:rsid w:val="005F700B"/>
    <w:rsid w:val="006036E1"/>
    <w:rsid w:val="00605DBB"/>
    <w:rsid w:val="00606440"/>
    <w:rsid w:val="006132B8"/>
    <w:rsid w:val="00617216"/>
    <w:rsid w:val="006173B1"/>
    <w:rsid w:val="0062102E"/>
    <w:rsid w:val="00621747"/>
    <w:rsid w:val="00641096"/>
    <w:rsid w:val="006459FF"/>
    <w:rsid w:val="00647D0A"/>
    <w:rsid w:val="006526D4"/>
    <w:rsid w:val="0065337C"/>
    <w:rsid w:val="00655489"/>
    <w:rsid w:val="00656FCB"/>
    <w:rsid w:val="0065747B"/>
    <w:rsid w:val="00664939"/>
    <w:rsid w:val="00664AB0"/>
    <w:rsid w:val="00666EF1"/>
    <w:rsid w:val="0066797F"/>
    <w:rsid w:val="006710C5"/>
    <w:rsid w:val="00672BBE"/>
    <w:rsid w:val="00675D54"/>
    <w:rsid w:val="0067697B"/>
    <w:rsid w:val="0068086D"/>
    <w:rsid w:val="006829AE"/>
    <w:rsid w:val="00684243"/>
    <w:rsid w:val="00685F63"/>
    <w:rsid w:val="00696418"/>
    <w:rsid w:val="0069738F"/>
    <w:rsid w:val="006A2826"/>
    <w:rsid w:val="006A2D7F"/>
    <w:rsid w:val="006B35C3"/>
    <w:rsid w:val="006B38A8"/>
    <w:rsid w:val="006D1178"/>
    <w:rsid w:val="006E2E94"/>
    <w:rsid w:val="006E3F31"/>
    <w:rsid w:val="006E5669"/>
    <w:rsid w:val="006E79F9"/>
    <w:rsid w:val="006F156A"/>
    <w:rsid w:val="006F3EF0"/>
    <w:rsid w:val="00700278"/>
    <w:rsid w:val="007003EE"/>
    <w:rsid w:val="0070217C"/>
    <w:rsid w:val="0071238D"/>
    <w:rsid w:val="00715B6A"/>
    <w:rsid w:val="00722456"/>
    <w:rsid w:val="0072275C"/>
    <w:rsid w:val="00723BD3"/>
    <w:rsid w:val="00724822"/>
    <w:rsid w:val="00727C2E"/>
    <w:rsid w:val="00734B31"/>
    <w:rsid w:val="00737F94"/>
    <w:rsid w:val="0074335C"/>
    <w:rsid w:val="00753D7F"/>
    <w:rsid w:val="00754726"/>
    <w:rsid w:val="00760648"/>
    <w:rsid w:val="007715EB"/>
    <w:rsid w:val="00774B73"/>
    <w:rsid w:val="007753DA"/>
    <w:rsid w:val="007876F2"/>
    <w:rsid w:val="00790033"/>
    <w:rsid w:val="0079060F"/>
    <w:rsid w:val="007975FE"/>
    <w:rsid w:val="0079779F"/>
    <w:rsid w:val="007A157F"/>
    <w:rsid w:val="007A2949"/>
    <w:rsid w:val="007A51B7"/>
    <w:rsid w:val="007A7233"/>
    <w:rsid w:val="007A755A"/>
    <w:rsid w:val="007B045F"/>
    <w:rsid w:val="007B1119"/>
    <w:rsid w:val="007B65BD"/>
    <w:rsid w:val="007B7F1A"/>
    <w:rsid w:val="007C189C"/>
    <w:rsid w:val="007C57D9"/>
    <w:rsid w:val="007D07CA"/>
    <w:rsid w:val="007D0F21"/>
    <w:rsid w:val="007E0806"/>
    <w:rsid w:val="007E367D"/>
    <w:rsid w:val="007E5626"/>
    <w:rsid w:val="008012D2"/>
    <w:rsid w:val="00803014"/>
    <w:rsid w:val="00803A76"/>
    <w:rsid w:val="00804126"/>
    <w:rsid w:val="008071C0"/>
    <w:rsid w:val="00807885"/>
    <w:rsid w:val="00814E60"/>
    <w:rsid w:val="00814E68"/>
    <w:rsid w:val="00821153"/>
    <w:rsid w:val="00825DBD"/>
    <w:rsid w:val="00837837"/>
    <w:rsid w:val="00837BEE"/>
    <w:rsid w:val="00842DC9"/>
    <w:rsid w:val="008532D3"/>
    <w:rsid w:val="00854C6D"/>
    <w:rsid w:val="008618DE"/>
    <w:rsid w:val="00862DFC"/>
    <w:rsid w:val="00866DFA"/>
    <w:rsid w:val="00870264"/>
    <w:rsid w:val="0087254B"/>
    <w:rsid w:val="00873295"/>
    <w:rsid w:val="00874A21"/>
    <w:rsid w:val="0087644C"/>
    <w:rsid w:val="008774B1"/>
    <w:rsid w:val="00880263"/>
    <w:rsid w:val="0088401D"/>
    <w:rsid w:val="00886800"/>
    <w:rsid w:val="00891C66"/>
    <w:rsid w:val="00893FAA"/>
    <w:rsid w:val="008A1C25"/>
    <w:rsid w:val="008A492C"/>
    <w:rsid w:val="008A782D"/>
    <w:rsid w:val="008B23DE"/>
    <w:rsid w:val="008C1FCD"/>
    <w:rsid w:val="008C6530"/>
    <w:rsid w:val="008D30DC"/>
    <w:rsid w:val="008D5E33"/>
    <w:rsid w:val="008D699B"/>
    <w:rsid w:val="008F779D"/>
    <w:rsid w:val="0090754F"/>
    <w:rsid w:val="0091500E"/>
    <w:rsid w:val="00924B11"/>
    <w:rsid w:val="009268A2"/>
    <w:rsid w:val="009328A4"/>
    <w:rsid w:val="009354F1"/>
    <w:rsid w:val="00955F3E"/>
    <w:rsid w:val="00961306"/>
    <w:rsid w:val="00961D01"/>
    <w:rsid w:val="00964D63"/>
    <w:rsid w:val="009664D3"/>
    <w:rsid w:val="009747D1"/>
    <w:rsid w:val="0098292C"/>
    <w:rsid w:val="00983B20"/>
    <w:rsid w:val="00987BD1"/>
    <w:rsid w:val="009A27A2"/>
    <w:rsid w:val="009A59C4"/>
    <w:rsid w:val="009B0989"/>
    <w:rsid w:val="009B0FA1"/>
    <w:rsid w:val="009B504A"/>
    <w:rsid w:val="009B705E"/>
    <w:rsid w:val="009C0507"/>
    <w:rsid w:val="009C12C3"/>
    <w:rsid w:val="009D1B67"/>
    <w:rsid w:val="009D44E9"/>
    <w:rsid w:val="009D65A2"/>
    <w:rsid w:val="009D6F1A"/>
    <w:rsid w:val="009F14F9"/>
    <w:rsid w:val="009F2126"/>
    <w:rsid w:val="009F3DE8"/>
    <w:rsid w:val="009F4590"/>
    <w:rsid w:val="009F551A"/>
    <w:rsid w:val="009F57F3"/>
    <w:rsid w:val="00A12D75"/>
    <w:rsid w:val="00A204A6"/>
    <w:rsid w:val="00A20E55"/>
    <w:rsid w:val="00A25808"/>
    <w:rsid w:val="00A31939"/>
    <w:rsid w:val="00A40266"/>
    <w:rsid w:val="00A50FF4"/>
    <w:rsid w:val="00A53274"/>
    <w:rsid w:val="00A579EC"/>
    <w:rsid w:val="00A604BF"/>
    <w:rsid w:val="00A60BFF"/>
    <w:rsid w:val="00A63EC1"/>
    <w:rsid w:val="00A66083"/>
    <w:rsid w:val="00A679E1"/>
    <w:rsid w:val="00A723B9"/>
    <w:rsid w:val="00A7431E"/>
    <w:rsid w:val="00A814A0"/>
    <w:rsid w:val="00A822AB"/>
    <w:rsid w:val="00A8382F"/>
    <w:rsid w:val="00A85953"/>
    <w:rsid w:val="00A87349"/>
    <w:rsid w:val="00A92725"/>
    <w:rsid w:val="00A97349"/>
    <w:rsid w:val="00AA2F5B"/>
    <w:rsid w:val="00AB004D"/>
    <w:rsid w:val="00AB498C"/>
    <w:rsid w:val="00AB5499"/>
    <w:rsid w:val="00AB5DA5"/>
    <w:rsid w:val="00AB65EF"/>
    <w:rsid w:val="00AC194F"/>
    <w:rsid w:val="00AD7E9B"/>
    <w:rsid w:val="00AE1D2D"/>
    <w:rsid w:val="00AF0102"/>
    <w:rsid w:val="00AF0849"/>
    <w:rsid w:val="00AF5B07"/>
    <w:rsid w:val="00B00A79"/>
    <w:rsid w:val="00B060DC"/>
    <w:rsid w:val="00B10173"/>
    <w:rsid w:val="00B11607"/>
    <w:rsid w:val="00B1409C"/>
    <w:rsid w:val="00B16052"/>
    <w:rsid w:val="00B23B50"/>
    <w:rsid w:val="00B25DDF"/>
    <w:rsid w:val="00B27538"/>
    <w:rsid w:val="00B27A2C"/>
    <w:rsid w:val="00B3660B"/>
    <w:rsid w:val="00B42C0A"/>
    <w:rsid w:val="00B45AF0"/>
    <w:rsid w:val="00B47D5A"/>
    <w:rsid w:val="00B50A63"/>
    <w:rsid w:val="00B5394F"/>
    <w:rsid w:val="00B57A1D"/>
    <w:rsid w:val="00B60C49"/>
    <w:rsid w:val="00B62FE0"/>
    <w:rsid w:val="00B642E1"/>
    <w:rsid w:val="00B70787"/>
    <w:rsid w:val="00B71E4D"/>
    <w:rsid w:val="00B72CD3"/>
    <w:rsid w:val="00B73BE5"/>
    <w:rsid w:val="00B827B3"/>
    <w:rsid w:val="00B85394"/>
    <w:rsid w:val="00B867D1"/>
    <w:rsid w:val="00B86A4B"/>
    <w:rsid w:val="00B90DA0"/>
    <w:rsid w:val="00BA0C25"/>
    <w:rsid w:val="00BA7F3F"/>
    <w:rsid w:val="00BB5CD8"/>
    <w:rsid w:val="00BC3A25"/>
    <w:rsid w:val="00BC61D7"/>
    <w:rsid w:val="00BD4BE3"/>
    <w:rsid w:val="00BD62D7"/>
    <w:rsid w:val="00BE15DE"/>
    <w:rsid w:val="00BE5EA8"/>
    <w:rsid w:val="00BE5FAB"/>
    <w:rsid w:val="00BF0E46"/>
    <w:rsid w:val="00BF0F54"/>
    <w:rsid w:val="00BF28DD"/>
    <w:rsid w:val="00C035FF"/>
    <w:rsid w:val="00C04465"/>
    <w:rsid w:val="00C04469"/>
    <w:rsid w:val="00C123FD"/>
    <w:rsid w:val="00C17D63"/>
    <w:rsid w:val="00C2078D"/>
    <w:rsid w:val="00C232E4"/>
    <w:rsid w:val="00C25C9C"/>
    <w:rsid w:val="00C261D4"/>
    <w:rsid w:val="00C26B68"/>
    <w:rsid w:val="00C27DC9"/>
    <w:rsid w:val="00C342D3"/>
    <w:rsid w:val="00C34CD6"/>
    <w:rsid w:val="00C5307A"/>
    <w:rsid w:val="00C54B43"/>
    <w:rsid w:val="00C54C01"/>
    <w:rsid w:val="00C65C54"/>
    <w:rsid w:val="00C704AC"/>
    <w:rsid w:val="00C77A8E"/>
    <w:rsid w:val="00C8583B"/>
    <w:rsid w:val="00C91E83"/>
    <w:rsid w:val="00C92410"/>
    <w:rsid w:val="00C9419F"/>
    <w:rsid w:val="00C948CE"/>
    <w:rsid w:val="00C95C4E"/>
    <w:rsid w:val="00C95CA8"/>
    <w:rsid w:val="00C97B91"/>
    <w:rsid w:val="00CB09B7"/>
    <w:rsid w:val="00CB1F80"/>
    <w:rsid w:val="00CB5178"/>
    <w:rsid w:val="00CB5599"/>
    <w:rsid w:val="00CB6F04"/>
    <w:rsid w:val="00CC3A12"/>
    <w:rsid w:val="00CC4649"/>
    <w:rsid w:val="00CC6830"/>
    <w:rsid w:val="00CC79D8"/>
    <w:rsid w:val="00CD0635"/>
    <w:rsid w:val="00CD42B2"/>
    <w:rsid w:val="00CD52B7"/>
    <w:rsid w:val="00CD6F7A"/>
    <w:rsid w:val="00CE4292"/>
    <w:rsid w:val="00CE5D57"/>
    <w:rsid w:val="00CE60E1"/>
    <w:rsid w:val="00D02F5B"/>
    <w:rsid w:val="00D143DF"/>
    <w:rsid w:val="00D14999"/>
    <w:rsid w:val="00D16A25"/>
    <w:rsid w:val="00D172C6"/>
    <w:rsid w:val="00D24C60"/>
    <w:rsid w:val="00D338EF"/>
    <w:rsid w:val="00D341F3"/>
    <w:rsid w:val="00D34277"/>
    <w:rsid w:val="00D4163E"/>
    <w:rsid w:val="00D42079"/>
    <w:rsid w:val="00D42798"/>
    <w:rsid w:val="00D469F8"/>
    <w:rsid w:val="00D55D1B"/>
    <w:rsid w:val="00D56A1A"/>
    <w:rsid w:val="00D65FDA"/>
    <w:rsid w:val="00D67460"/>
    <w:rsid w:val="00D70F48"/>
    <w:rsid w:val="00D740CC"/>
    <w:rsid w:val="00D8753D"/>
    <w:rsid w:val="00D958BA"/>
    <w:rsid w:val="00DA3E71"/>
    <w:rsid w:val="00DA54AF"/>
    <w:rsid w:val="00DB4EB2"/>
    <w:rsid w:val="00DC41C9"/>
    <w:rsid w:val="00DD4EAE"/>
    <w:rsid w:val="00DD6747"/>
    <w:rsid w:val="00DE66FB"/>
    <w:rsid w:val="00DE70F9"/>
    <w:rsid w:val="00DF0A27"/>
    <w:rsid w:val="00DF7670"/>
    <w:rsid w:val="00E01064"/>
    <w:rsid w:val="00E02A1E"/>
    <w:rsid w:val="00E10682"/>
    <w:rsid w:val="00E111ED"/>
    <w:rsid w:val="00E14C64"/>
    <w:rsid w:val="00E15475"/>
    <w:rsid w:val="00E17243"/>
    <w:rsid w:val="00E21B3C"/>
    <w:rsid w:val="00E23494"/>
    <w:rsid w:val="00E254CD"/>
    <w:rsid w:val="00E262FE"/>
    <w:rsid w:val="00E26544"/>
    <w:rsid w:val="00E26E3B"/>
    <w:rsid w:val="00E30113"/>
    <w:rsid w:val="00E40AA4"/>
    <w:rsid w:val="00E443BC"/>
    <w:rsid w:val="00E46B33"/>
    <w:rsid w:val="00E666F0"/>
    <w:rsid w:val="00E8319B"/>
    <w:rsid w:val="00E839D7"/>
    <w:rsid w:val="00E8443C"/>
    <w:rsid w:val="00E86930"/>
    <w:rsid w:val="00E92BC9"/>
    <w:rsid w:val="00E979C4"/>
    <w:rsid w:val="00EA1B55"/>
    <w:rsid w:val="00EA23FD"/>
    <w:rsid w:val="00EA5CD1"/>
    <w:rsid w:val="00EB29F3"/>
    <w:rsid w:val="00EC40AF"/>
    <w:rsid w:val="00EC6C13"/>
    <w:rsid w:val="00ED32D3"/>
    <w:rsid w:val="00ED3AA4"/>
    <w:rsid w:val="00ED721A"/>
    <w:rsid w:val="00ED7813"/>
    <w:rsid w:val="00EE0FC6"/>
    <w:rsid w:val="00EE4731"/>
    <w:rsid w:val="00EE6E3A"/>
    <w:rsid w:val="00EE7337"/>
    <w:rsid w:val="00EF0428"/>
    <w:rsid w:val="00EF11FB"/>
    <w:rsid w:val="00EF146F"/>
    <w:rsid w:val="00EF7A52"/>
    <w:rsid w:val="00F015F7"/>
    <w:rsid w:val="00F040D0"/>
    <w:rsid w:val="00F05F15"/>
    <w:rsid w:val="00F14467"/>
    <w:rsid w:val="00F1591C"/>
    <w:rsid w:val="00F16BBB"/>
    <w:rsid w:val="00F21739"/>
    <w:rsid w:val="00F32E1B"/>
    <w:rsid w:val="00F350AE"/>
    <w:rsid w:val="00F35F67"/>
    <w:rsid w:val="00F37116"/>
    <w:rsid w:val="00F40474"/>
    <w:rsid w:val="00F42D28"/>
    <w:rsid w:val="00F508A1"/>
    <w:rsid w:val="00F55E1E"/>
    <w:rsid w:val="00F568D2"/>
    <w:rsid w:val="00F56CE7"/>
    <w:rsid w:val="00F603EC"/>
    <w:rsid w:val="00F623DD"/>
    <w:rsid w:val="00F71195"/>
    <w:rsid w:val="00F7535E"/>
    <w:rsid w:val="00F75E9F"/>
    <w:rsid w:val="00F76258"/>
    <w:rsid w:val="00F766BE"/>
    <w:rsid w:val="00F8795D"/>
    <w:rsid w:val="00F91AB5"/>
    <w:rsid w:val="00FA1323"/>
    <w:rsid w:val="00FA33D2"/>
    <w:rsid w:val="00FB6DFD"/>
    <w:rsid w:val="00FB7FA9"/>
    <w:rsid w:val="00FC5259"/>
    <w:rsid w:val="00FD12D8"/>
    <w:rsid w:val="00FD651B"/>
    <w:rsid w:val="00FD6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2B8"/>
    <w:pPr>
      <w:spacing w:after="0" w:line="240" w:lineRule="auto"/>
      <w:jc w:val="both"/>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132B8"/>
    <w:pPr>
      <w:tabs>
        <w:tab w:val="center" w:pos="4320"/>
        <w:tab w:val="right" w:pos="8640"/>
      </w:tabs>
    </w:pPr>
  </w:style>
  <w:style w:type="character" w:customStyle="1" w:styleId="FooterChar">
    <w:name w:val="Footer Char"/>
    <w:basedOn w:val="DefaultParagraphFont"/>
    <w:link w:val="Footer"/>
    <w:rsid w:val="006132B8"/>
    <w:rPr>
      <w:rFonts w:ascii="Times New Roman" w:eastAsia="Times New Roman" w:hAnsi="Times New Roman" w:cs="Times New Roman"/>
    </w:rPr>
  </w:style>
  <w:style w:type="paragraph" w:styleId="Header">
    <w:name w:val="header"/>
    <w:basedOn w:val="Normal"/>
    <w:link w:val="HeaderChar"/>
    <w:uiPriority w:val="99"/>
    <w:semiHidden/>
    <w:unhideWhenUsed/>
    <w:rsid w:val="007E0806"/>
    <w:pPr>
      <w:tabs>
        <w:tab w:val="center" w:pos="4680"/>
        <w:tab w:val="right" w:pos="9360"/>
      </w:tabs>
    </w:pPr>
  </w:style>
  <w:style w:type="character" w:customStyle="1" w:styleId="HeaderChar">
    <w:name w:val="Header Char"/>
    <w:basedOn w:val="DefaultParagraphFont"/>
    <w:link w:val="Header"/>
    <w:uiPriority w:val="99"/>
    <w:semiHidden/>
    <w:rsid w:val="007E0806"/>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2B8"/>
    <w:pPr>
      <w:spacing w:after="0" w:line="240" w:lineRule="auto"/>
      <w:jc w:val="both"/>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132B8"/>
    <w:pPr>
      <w:tabs>
        <w:tab w:val="center" w:pos="4320"/>
        <w:tab w:val="right" w:pos="8640"/>
      </w:tabs>
    </w:pPr>
  </w:style>
  <w:style w:type="character" w:customStyle="1" w:styleId="FooterChar">
    <w:name w:val="Footer Char"/>
    <w:basedOn w:val="DefaultParagraphFont"/>
    <w:link w:val="Footer"/>
    <w:rsid w:val="006132B8"/>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Chesser</dc:creator>
  <cp:lastModifiedBy>portec</cp:lastModifiedBy>
  <cp:revision>5</cp:revision>
  <cp:lastPrinted>2012-10-09T15:47:00Z</cp:lastPrinted>
  <dcterms:created xsi:type="dcterms:W3CDTF">2012-10-09T15:46:00Z</dcterms:created>
  <dcterms:modified xsi:type="dcterms:W3CDTF">2012-10-09T17:57:00Z</dcterms:modified>
</cp:coreProperties>
</file>