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046C1" w14:textId="73AE428B" w:rsidR="0032708B" w:rsidRPr="00056C1E" w:rsidRDefault="0032708B" w:rsidP="00056C1E">
      <w:pPr>
        <w:spacing w:line="360" w:lineRule="auto"/>
        <w:jc w:val="center"/>
        <w:rPr>
          <w:rFonts w:ascii="Arial" w:hAnsi="Arial" w:cs="Arial"/>
          <w:b/>
          <w:sz w:val="36"/>
          <w:szCs w:val="36"/>
        </w:rPr>
      </w:pPr>
      <w:bookmarkStart w:id="0" w:name="_Toc331153021"/>
      <w:bookmarkStart w:id="1" w:name="_Toc103414750"/>
      <w:bookmarkStart w:id="2" w:name="_Toc103592306"/>
      <w:r w:rsidRPr="00056C1E">
        <w:rPr>
          <w:rFonts w:ascii="Arial" w:hAnsi="Arial" w:cs="Arial"/>
          <w:b/>
          <w:sz w:val="36"/>
          <w:szCs w:val="36"/>
        </w:rPr>
        <w:t>Request for Proposal (RFP) ET</w:t>
      </w:r>
      <w:r w:rsidR="005B1CBB" w:rsidRPr="00056C1E">
        <w:rPr>
          <w:rFonts w:ascii="Arial" w:hAnsi="Arial" w:cs="Arial"/>
          <w:b/>
          <w:sz w:val="36"/>
          <w:szCs w:val="36"/>
        </w:rPr>
        <w:t>G</w:t>
      </w:r>
      <w:r w:rsidRPr="00056C1E">
        <w:rPr>
          <w:rFonts w:ascii="Arial" w:hAnsi="Arial" w:cs="Arial"/>
          <w:b/>
          <w:sz w:val="36"/>
          <w:szCs w:val="36"/>
        </w:rPr>
        <w:t>00</w:t>
      </w:r>
      <w:r w:rsidR="005B1CBB" w:rsidRPr="00056C1E">
        <w:rPr>
          <w:rFonts w:ascii="Arial" w:hAnsi="Arial" w:cs="Arial"/>
          <w:b/>
          <w:sz w:val="36"/>
          <w:szCs w:val="36"/>
        </w:rPr>
        <w:t>05</w:t>
      </w:r>
      <w:r w:rsidR="00056C1E" w:rsidRPr="00056C1E">
        <w:rPr>
          <w:rFonts w:ascii="Arial" w:hAnsi="Arial" w:cs="Arial"/>
          <w:b/>
          <w:sz w:val="36"/>
          <w:szCs w:val="36"/>
        </w:rPr>
        <w:t xml:space="preserve"> </w:t>
      </w:r>
      <w:r w:rsidR="00056C1E">
        <w:rPr>
          <w:rFonts w:ascii="Arial" w:hAnsi="Arial" w:cs="Arial"/>
          <w:b/>
          <w:sz w:val="36"/>
          <w:szCs w:val="36"/>
        </w:rPr>
        <w:br/>
      </w:r>
      <w:r w:rsidR="00D76252" w:rsidRPr="00056C1E">
        <w:rPr>
          <w:rFonts w:ascii="Arial" w:hAnsi="Arial" w:cs="Arial"/>
          <w:b/>
          <w:sz w:val="36"/>
          <w:szCs w:val="36"/>
        </w:rPr>
        <w:t xml:space="preserve">Third Party Administration of </w:t>
      </w:r>
      <w:r w:rsidR="005B1CBB" w:rsidRPr="00056C1E">
        <w:rPr>
          <w:rFonts w:ascii="Arial" w:hAnsi="Arial" w:cs="Arial"/>
          <w:b/>
          <w:sz w:val="36"/>
          <w:szCs w:val="36"/>
        </w:rPr>
        <w:t xml:space="preserve">Wellness and Disease Management Programs </w:t>
      </w:r>
      <w:r w:rsidRPr="00056C1E">
        <w:rPr>
          <w:rFonts w:ascii="Arial" w:hAnsi="Arial" w:cs="Arial"/>
          <w:b/>
          <w:sz w:val="36"/>
          <w:szCs w:val="36"/>
        </w:rPr>
        <w:t>for the Department of Empl</w:t>
      </w:r>
      <w:r w:rsidR="00D76252" w:rsidRPr="00056C1E">
        <w:rPr>
          <w:rFonts w:ascii="Arial" w:hAnsi="Arial" w:cs="Arial"/>
          <w:b/>
          <w:sz w:val="36"/>
          <w:szCs w:val="36"/>
        </w:rPr>
        <w:t>oyee Trust Funds (ETF</w:t>
      </w:r>
      <w:r w:rsidR="00D76252" w:rsidRPr="00056C1E">
        <w:rPr>
          <w:rFonts w:ascii="Arial" w:hAnsi="Arial" w:cs="Arial"/>
          <w:b/>
          <w:noProof/>
          <w:sz w:val="36"/>
          <w:szCs w:val="36"/>
        </w:rPr>
        <w:t>)</w:t>
      </w:r>
    </w:p>
    <w:p w14:paraId="62C72C4F" w14:textId="15A07A43" w:rsidR="00263258" w:rsidRPr="00273653" w:rsidRDefault="00263258" w:rsidP="0032708B">
      <w:pPr>
        <w:spacing w:before="0"/>
        <w:jc w:val="center"/>
        <w:rPr>
          <w:rFonts w:ascii="Arial" w:hAnsi="Arial" w:cs="Arial"/>
          <w:b/>
        </w:rPr>
      </w:pPr>
    </w:p>
    <w:p w14:paraId="0DFBB682" w14:textId="52287BAB" w:rsidR="006A427F" w:rsidRPr="00273653" w:rsidRDefault="006A427F" w:rsidP="00F405AA">
      <w:pPr>
        <w:spacing w:before="0"/>
        <w:jc w:val="center"/>
        <w:rPr>
          <w:rFonts w:ascii="Arial" w:hAnsi="Arial" w:cs="Arial"/>
          <w:b/>
          <w:color w:val="002060"/>
        </w:rPr>
      </w:pPr>
    </w:p>
    <w:p w14:paraId="5CC69E61" w14:textId="761D426F" w:rsidR="00056C1E" w:rsidRDefault="00056C1E" w:rsidP="00F405AA">
      <w:pPr>
        <w:jc w:val="center"/>
        <w:rPr>
          <w:rFonts w:ascii="Arial" w:hAnsi="Arial" w:cs="Arial"/>
          <w:b/>
          <w:color w:val="365F91" w:themeColor="accent1" w:themeShade="BF"/>
          <w:sz w:val="36"/>
        </w:rPr>
      </w:pPr>
      <w:r w:rsidRPr="00056C1E">
        <w:rPr>
          <w:rFonts w:ascii="Arial" w:hAnsi="Arial" w:cs="Arial"/>
          <w:b/>
          <w:noProof/>
          <w:sz w:val="36"/>
          <w:szCs w:val="36"/>
        </w:rPr>
        <w:drawing>
          <wp:anchor distT="0" distB="0" distL="114300" distR="114300" simplePos="0" relativeHeight="251668480" behindDoc="0" locked="0" layoutInCell="0" allowOverlap="1" wp14:anchorId="6B6CCF5B" wp14:editId="6D05F6FF">
            <wp:simplePos x="0" y="0"/>
            <wp:positionH relativeFrom="column">
              <wp:posOffset>187960</wp:posOffset>
            </wp:positionH>
            <wp:positionV relativeFrom="paragraph">
              <wp:posOffset>272415</wp:posOffset>
            </wp:positionV>
            <wp:extent cx="5480685" cy="2907030"/>
            <wp:effectExtent l="0" t="0" r="5715" b="762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0685" cy="2907030"/>
                    </a:xfrm>
                    <a:prstGeom prst="rect">
                      <a:avLst/>
                    </a:prstGeom>
                    <a:noFill/>
                    <a:ln w="9525">
                      <a:noFill/>
                      <a:miter lim="800000"/>
                      <a:headEnd/>
                      <a:tailEnd/>
                    </a:ln>
                  </pic:spPr>
                </pic:pic>
              </a:graphicData>
            </a:graphic>
          </wp:anchor>
        </w:drawing>
      </w:r>
    </w:p>
    <w:p w14:paraId="18E17D17" w14:textId="77777777" w:rsidR="00056C1E" w:rsidRDefault="00056C1E" w:rsidP="00F405AA">
      <w:pPr>
        <w:jc w:val="center"/>
        <w:rPr>
          <w:rFonts w:ascii="Arial" w:hAnsi="Arial" w:cs="Arial"/>
          <w:b/>
          <w:color w:val="365F91" w:themeColor="accent1" w:themeShade="BF"/>
          <w:sz w:val="36"/>
        </w:rPr>
      </w:pPr>
    </w:p>
    <w:p w14:paraId="0C954A9C" w14:textId="77777777" w:rsidR="00F405AA" w:rsidRPr="00894D41" w:rsidRDefault="006A427F" w:rsidP="00F405AA">
      <w:pPr>
        <w:jc w:val="center"/>
        <w:rPr>
          <w:rFonts w:ascii="Arial" w:hAnsi="Arial" w:cs="Arial"/>
          <w:b/>
          <w:color w:val="365F91" w:themeColor="accent1" w:themeShade="BF"/>
          <w:sz w:val="36"/>
        </w:rPr>
      </w:pPr>
      <w:r w:rsidRPr="00894D41">
        <w:rPr>
          <w:rFonts w:ascii="Arial" w:hAnsi="Arial" w:cs="Arial"/>
          <w:b/>
          <w:color w:val="365F91" w:themeColor="accent1" w:themeShade="BF"/>
          <w:sz w:val="36"/>
        </w:rPr>
        <w:t xml:space="preserve">Issued by the </w:t>
      </w:r>
    </w:p>
    <w:p w14:paraId="565BEAAF" w14:textId="77777777" w:rsidR="006A427F" w:rsidRPr="00894D41" w:rsidRDefault="006A427F" w:rsidP="00F405AA">
      <w:pPr>
        <w:jc w:val="center"/>
        <w:rPr>
          <w:rFonts w:ascii="Arial" w:hAnsi="Arial" w:cs="Arial"/>
          <w:b/>
          <w:color w:val="365F91" w:themeColor="accent1" w:themeShade="BF"/>
          <w:sz w:val="36"/>
        </w:rPr>
      </w:pPr>
      <w:r w:rsidRPr="00894D41">
        <w:rPr>
          <w:rFonts w:ascii="Arial" w:hAnsi="Arial" w:cs="Arial"/>
          <w:b/>
          <w:color w:val="365F91" w:themeColor="accent1" w:themeShade="BF"/>
          <w:sz w:val="36"/>
        </w:rPr>
        <w:t>State of Wisconsin</w:t>
      </w:r>
    </w:p>
    <w:p w14:paraId="1F471544" w14:textId="77777777" w:rsidR="00D76252" w:rsidRPr="00894D41" w:rsidRDefault="006A427F" w:rsidP="00F405AA">
      <w:pPr>
        <w:jc w:val="center"/>
        <w:rPr>
          <w:rFonts w:ascii="Arial" w:hAnsi="Arial" w:cs="Arial"/>
          <w:b/>
          <w:color w:val="365F91" w:themeColor="accent1" w:themeShade="BF"/>
          <w:sz w:val="36"/>
        </w:rPr>
      </w:pPr>
      <w:r w:rsidRPr="00894D41">
        <w:rPr>
          <w:rFonts w:ascii="Arial" w:hAnsi="Arial" w:cs="Arial"/>
          <w:b/>
          <w:color w:val="365F91" w:themeColor="accent1" w:themeShade="BF"/>
          <w:sz w:val="36"/>
        </w:rPr>
        <w:t>De</w:t>
      </w:r>
      <w:r w:rsidR="00D76252" w:rsidRPr="00894D41">
        <w:rPr>
          <w:rFonts w:ascii="Arial" w:hAnsi="Arial" w:cs="Arial"/>
          <w:b/>
          <w:color w:val="365F91" w:themeColor="accent1" w:themeShade="BF"/>
          <w:sz w:val="36"/>
        </w:rPr>
        <w:t>partment of Employee Trust Funds</w:t>
      </w:r>
    </w:p>
    <w:p w14:paraId="05079571" w14:textId="77777777" w:rsidR="006A427F" w:rsidRPr="00894D41" w:rsidRDefault="00D76252" w:rsidP="00F405AA">
      <w:pPr>
        <w:jc w:val="center"/>
        <w:rPr>
          <w:rFonts w:ascii="Arial" w:hAnsi="Arial" w:cs="Arial"/>
          <w:b/>
          <w:color w:val="365F91" w:themeColor="accent1" w:themeShade="BF"/>
          <w:sz w:val="36"/>
        </w:rPr>
      </w:pPr>
      <w:r w:rsidRPr="00894D41">
        <w:rPr>
          <w:rFonts w:ascii="Arial" w:hAnsi="Arial" w:cs="Arial"/>
          <w:b/>
          <w:color w:val="365F91" w:themeColor="accent1" w:themeShade="BF"/>
          <w:sz w:val="36"/>
        </w:rPr>
        <w:t xml:space="preserve">On behalf of the Group Insurance Board </w:t>
      </w:r>
    </w:p>
    <w:p w14:paraId="0EFCCB53" w14:textId="77777777" w:rsidR="006A427F" w:rsidRPr="00273653" w:rsidRDefault="006A427F" w:rsidP="006A427F">
      <w:pPr>
        <w:spacing w:before="0"/>
        <w:jc w:val="center"/>
        <w:rPr>
          <w:rFonts w:ascii="Arial" w:hAnsi="Arial" w:cs="Arial"/>
        </w:rPr>
      </w:pPr>
    </w:p>
    <w:p w14:paraId="1310D645" w14:textId="77777777" w:rsidR="006A427F" w:rsidRPr="00273653" w:rsidRDefault="006A427F" w:rsidP="00F405AA">
      <w:pPr>
        <w:rPr>
          <w:rFonts w:ascii="Arial" w:hAnsi="Arial" w:cs="Arial"/>
        </w:rPr>
      </w:pPr>
    </w:p>
    <w:p w14:paraId="07F8C181" w14:textId="1022AC62" w:rsidR="006A427F" w:rsidRPr="00894D41" w:rsidRDefault="006A427F" w:rsidP="00F405AA">
      <w:pPr>
        <w:jc w:val="center"/>
        <w:rPr>
          <w:rFonts w:ascii="Arial" w:hAnsi="Arial" w:cs="Arial"/>
          <w:sz w:val="28"/>
        </w:rPr>
      </w:pPr>
      <w:r w:rsidRPr="00F81DD6">
        <w:rPr>
          <w:rFonts w:ascii="Arial" w:hAnsi="Arial" w:cs="Arial"/>
          <w:sz w:val="28"/>
        </w:rPr>
        <w:t xml:space="preserve">Release </w:t>
      </w:r>
      <w:r w:rsidRPr="006A5F95">
        <w:rPr>
          <w:rFonts w:ascii="Arial" w:hAnsi="Arial" w:cs="Arial"/>
          <w:sz w:val="28"/>
        </w:rPr>
        <w:t>Date:</w:t>
      </w:r>
      <w:r w:rsidR="004C75B9" w:rsidRPr="006A5F95">
        <w:rPr>
          <w:rFonts w:ascii="Arial" w:hAnsi="Arial" w:cs="Arial"/>
          <w:sz w:val="28"/>
        </w:rPr>
        <w:t xml:space="preserve"> </w:t>
      </w:r>
      <w:r w:rsidR="006A5F95" w:rsidRPr="006A5F95">
        <w:rPr>
          <w:rFonts w:ascii="Arial" w:hAnsi="Arial" w:cs="Arial"/>
          <w:sz w:val="28"/>
        </w:rPr>
        <w:t xml:space="preserve">April </w:t>
      </w:r>
      <w:r w:rsidR="00EC4CDD">
        <w:rPr>
          <w:rFonts w:ascii="Arial" w:hAnsi="Arial" w:cs="Arial"/>
          <w:sz w:val="28"/>
        </w:rPr>
        <w:t>2</w:t>
      </w:r>
      <w:r w:rsidR="003E0135">
        <w:rPr>
          <w:rFonts w:ascii="Arial" w:hAnsi="Arial" w:cs="Arial"/>
          <w:sz w:val="28"/>
        </w:rPr>
        <w:t>5</w:t>
      </w:r>
      <w:r w:rsidR="006A5F95" w:rsidRPr="006A5F95">
        <w:rPr>
          <w:rFonts w:ascii="Arial" w:hAnsi="Arial" w:cs="Arial"/>
          <w:sz w:val="28"/>
        </w:rPr>
        <w:t>, 2016</w:t>
      </w:r>
    </w:p>
    <w:p w14:paraId="6D241A52" w14:textId="77777777" w:rsidR="006A427F" w:rsidRPr="00273653" w:rsidRDefault="006A427F" w:rsidP="006A427F">
      <w:pPr>
        <w:spacing w:before="0"/>
        <w:rPr>
          <w:rFonts w:ascii="Arial" w:hAnsi="Arial" w:cs="Arial"/>
          <w:highlight w:val="yellow"/>
        </w:rPr>
      </w:pPr>
    </w:p>
    <w:p w14:paraId="1D12BF4A" w14:textId="77777777" w:rsidR="00F405AA" w:rsidRPr="00273653" w:rsidRDefault="006A427F" w:rsidP="00F405AA">
      <w:pPr>
        <w:rPr>
          <w:rFonts w:ascii="Arial" w:hAnsi="Arial" w:cs="Arial"/>
        </w:rPr>
      </w:pPr>
      <w:r w:rsidRPr="00273653">
        <w:rPr>
          <w:rFonts w:ascii="Arial" w:hAnsi="Arial" w:cs="Arial"/>
        </w:rPr>
        <w:br w:type="page"/>
      </w:r>
    </w:p>
    <w:bookmarkStart w:id="3" w:name="_Toc448905177" w:displacedByCustomXml="next"/>
    <w:bookmarkStart w:id="4" w:name="_Toc398562520" w:displacedByCustomXml="next"/>
    <w:sdt>
      <w:sdtPr>
        <w:rPr>
          <w:rFonts w:ascii="Times New Roman" w:eastAsiaTheme="minorEastAsia" w:hAnsi="Times New Roman"/>
          <w:b w:val="0"/>
          <w:bCs w:val="0"/>
          <w:caps w:val="0"/>
          <w:noProof/>
          <w:color w:val="auto"/>
          <w:sz w:val="22"/>
          <w:szCs w:val="22"/>
        </w:rPr>
        <w:id w:val="1949972074"/>
        <w:docPartObj>
          <w:docPartGallery w:val="Table of Contents"/>
          <w:docPartUnique/>
        </w:docPartObj>
      </w:sdtPr>
      <w:sdtEndPr>
        <w:rPr>
          <w:rFonts w:ascii="Arial" w:hAnsi="Arial" w:cs="Arial"/>
          <w:caps/>
        </w:rPr>
      </w:sdtEndPr>
      <w:sdtContent>
        <w:p w14:paraId="73414B54" w14:textId="77777777" w:rsidR="00E87543" w:rsidRPr="00273653" w:rsidRDefault="00E87543" w:rsidP="00894D41">
          <w:pPr>
            <w:pStyle w:val="Appdx2"/>
          </w:pPr>
          <w:r w:rsidRPr="00273653">
            <w:t>Table of Contents</w:t>
          </w:r>
          <w:bookmarkEnd w:id="4"/>
          <w:bookmarkEnd w:id="3"/>
        </w:p>
        <w:p w14:paraId="4A122E90" w14:textId="77777777" w:rsidR="00CD435F" w:rsidRDefault="00485FE0">
          <w:pPr>
            <w:pStyle w:val="TOC1"/>
            <w:rPr>
              <w:rFonts w:asciiTheme="minorHAnsi" w:hAnsiTheme="minorHAnsi" w:cstheme="minorBidi"/>
              <w:caps w:val="0"/>
            </w:rPr>
          </w:pPr>
          <w:r w:rsidRPr="00273653">
            <w:rPr>
              <w:rFonts w:cs="Arial"/>
              <w:caps w:val="0"/>
            </w:rPr>
            <w:fldChar w:fldCharType="begin"/>
          </w:r>
          <w:r w:rsidR="00E87543" w:rsidRPr="00273653">
            <w:rPr>
              <w:rFonts w:cs="Arial"/>
              <w:caps w:val="0"/>
            </w:rPr>
            <w:instrText xml:space="preserve"> TOC \o "1-1" \h \z \u </w:instrText>
          </w:r>
          <w:r w:rsidRPr="00273653">
            <w:rPr>
              <w:rFonts w:cs="Arial"/>
              <w:caps w:val="0"/>
            </w:rPr>
            <w:fldChar w:fldCharType="separate"/>
          </w:r>
          <w:hyperlink w:anchor="_Toc448905177" w:history="1">
            <w:r w:rsidR="00CD435F" w:rsidRPr="00313DB1">
              <w:rPr>
                <w:rStyle w:val="Hyperlink"/>
              </w:rPr>
              <w:t>Table of Contents</w:t>
            </w:r>
            <w:r w:rsidR="00CD435F">
              <w:rPr>
                <w:webHidden/>
              </w:rPr>
              <w:tab/>
            </w:r>
            <w:r w:rsidR="00CD435F">
              <w:rPr>
                <w:webHidden/>
              </w:rPr>
              <w:fldChar w:fldCharType="begin"/>
            </w:r>
            <w:r w:rsidR="00CD435F">
              <w:rPr>
                <w:webHidden/>
              </w:rPr>
              <w:instrText xml:space="preserve"> PAGEREF _Toc448905177 \h </w:instrText>
            </w:r>
            <w:r w:rsidR="00CD435F">
              <w:rPr>
                <w:webHidden/>
              </w:rPr>
            </w:r>
            <w:r w:rsidR="00CD435F">
              <w:rPr>
                <w:webHidden/>
              </w:rPr>
              <w:fldChar w:fldCharType="separate"/>
            </w:r>
            <w:r w:rsidR="0032075C">
              <w:rPr>
                <w:webHidden/>
              </w:rPr>
              <w:t>2</w:t>
            </w:r>
            <w:r w:rsidR="00CD435F">
              <w:rPr>
                <w:webHidden/>
              </w:rPr>
              <w:fldChar w:fldCharType="end"/>
            </w:r>
          </w:hyperlink>
        </w:p>
        <w:p w14:paraId="369128B9" w14:textId="77777777" w:rsidR="00CD435F" w:rsidRDefault="00D95407">
          <w:pPr>
            <w:pStyle w:val="TOC1"/>
            <w:rPr>
              <w:rFonts w:asciiTheme="minorHAnsi" w:hAnsiTheme="minorHAnsi" w:cstheme="minorBidi"/>
              <w:caps w:val="0"/>
            </w:rPr>
          </w:pPr>
          <w:hyperlink w:anchor="_Toc448905178" w:history="1">
            <w:r w:rsidR="00CD435F" w:rsidRPr="00313DB1">
              <w:rPr>
                <w:rStyle w:val="Hyperlink"/>
              </w:rPr>
              <w:t>Exhibits and Appendices</w:t>
            </w:r>
            <w:r w:rsidR="00CD435F">
              <w:rPr>
                <w:webHidden/>
              </w:rPr>
              <w:tab/>
            </w:r>
            <w:r w:rsidR="00CD435F">
              <w:rPr>
                <w:webHidden/>
              </w:rPr>
              <w:fldChar w:fldCharType="begin"/>
            </w:r>
            <w:r w:rsidR="00CD435F">
              <w:rPr>
                <w:webHidden/>
              </w:rPr>
              <w:instrText xml:space="preserve"> PAGEREF _Toc448905178 \h </w:instrText>
            </w:r>
            <w:r w:rsidR="00CD435F">
              <w:rPr>
                <w:webHidden/>
              </w:rPr>
            </w:r>
            <w:r w:rsidR="00CD435F">
              <w:rPr>
                <w:webHidden/>
              </w:rPr>
              <w:fldChar w:fldCharType="separate"/>
            </w:r>
            <w:r w:rsidR="0032075C">
              <w:rPr>
                <w:webHidden/>
              </w:rPr>
              <w:t>2</w:t>
            </w:r>
            <w:r w:rsidR="00CD435F">
              <w:rPr>
                <w:webHidden/>
              </w:rPr>
              <w:fldChar w:fldCharType="end"/>
            </w:r>
          </w:hyperlink>
        </w:p>
        <w:p w14:paraId="79D415F3" w14:textId="77777777" w:rsidR="00CD435F" w:rsidRDefault="00D95407">
          <w:pPr>
            <w:pStyle w:val="TOC1"/>
            <w:rPr>
              <w:rFonts w:asciiTheme="minorHAnsi" w:hAnsiTheme="minorHAnsi" w:cstheme="minorBidi"/>
              <w:caps w:val="0"/>
            </w:rPr>
          </w:pPr>
          <w:hyperlink w:anchor="_Toc448905179" w:history="1">
            <w:r w:rsidR="00CD435F" w:rsidRPr="00313DB1">
              <w:rPr>
                <w:rStyle w:val="Hyperlink"/>
              </w:rPr>
              <w:t>Tables</w:t>
            </w:r>
            <w:r w:rsidR="00CD435F">
              <w:rPr>
                <w:webHidden/>
              </w:rPr>
              <w:tab/>
            </w:r>
            <w:r w:rsidR="00CD435F">
              <w:rPr>
                <w:webHidden/>
              </w:rPr>
              <w:fldChar w:fldCharType="begin"/>
            </w:r>
            <w:r w:rsidR="00CD435F">
              <w:rPr>
                <w:webHidden/>
              </w:rPr>
              <w:instrText xml:space="preserve"> PAGEREF _Toc448905179 \h </w:instrText>
            </w:r>
            <w:r w:rsidR="00CD435F">
              <w:rPr>
                <w:webHidden/>
              </w:rPr>
            </w:r>
            <w:r w:rsidR="00CD435F">
              <w:rPr>
                <w:webHidden/>
              </w:rPr>
              <w:fldChar w:fldCharType="separate"/>
            </w:r>
            <w:r w:rsidR="0032075C">
              <w:rPr>
                <w:webHidden/>
              </w:rPr>
              <w:t>2</w:t>
            </w:r>
            <w:r w:rsidR="00CD435F">
              <w:rPr>
                <w:webHidden/>
              </w:rPr>
              <w:fldChar w:fldCharType="end"/>
            </w:r>
          </w:hyperlink>
        </w:p>
        <w:p w14:paraId="585AF5D3" w14:textId="77777777" w:rsidR="00CD435F" w:rsidRDefault="00D95407">
          <w:pPr>
            <w:pStyle w:val="TOC1"/>
            <w:rPr>
              <w:rFonts w:asciiTheme="minorHAnsi" w:hAnsiTheme="minorHAnsi" w:cstheme="minorBidi"/>
              <w:caps w:val="0"/>
            </w:rPr>
          </w:pPr>
          <w:hyperlink w:anchor="_Toc448905180" w:history="1">
            <w:r w:rsidR="00CD435F" w:rsidRPr="00313DB1">
              <w:rPr>
                <w:rStyle w:val="Hyperlink"/>
              </w:rPr>
              <w:t>1</w:t>
            </w:r>
            <w:r w:rsidR="00CD435F">
              <w:rPr>
                <w:rFonts w:asciiTheme="minorHAnsi" w:hAnsiTheme="minorHAnsi" w:cstheme="minorBidi"/>
                <w:caps w:val="0"/>
              </w:rPr>
              <w:tab/>
            </w:r>
            <w:r w:rsidR="00CD435F" w:rsidRPr="00313DB1">
              <w:rPr>
                <w:rStyle w:val="Hyperlink"/>
              </w:rPr>
              <w:t>General Information</w:t>
            </w:r>
            <w:r w:rsidR="00CD435F">
              <w:rPr>
                <w:webHidden/>
              </w:rPr>
              <w:tab/>
            </w:r>
            <w:r w:rsidR="00CD435F">
              <w:rPr>
                <w:webHidden/>
              </w:rPr>
              <w:fldChar w:fldCharType="begin"/>
            </w:r>
            <w:r w:rsidR="00CD435F">
              <w:rPr>
                <w:webHidden/>
              </w:rPr>
              <w:instrText xml:space="preserve"> PAGEREF _Toc448905180 \h </w:instrText>
            </w:r>
            <w:r w:rsidR="00CD435F">
              <w:rPr>
                <w:webHidden/>
              </w:rPr>
            </w:r>
            <w:r w:rsidR="00CD435F">
              <w:rPr>
                <w:webHidden/>
              </w:rPr>
              <w:fldChar w:fldCharType="separate"/>
            </w:r>
            <w:r w:rsidR="0032075C">
              <w:rPr>
                <w:webHidden/>
              </w:rPr>
              <w:t>3</w:t>
            </w:r>
            <w:r w:rsidR="00CD435F">
              <w:rPr>
                <w:webHidden/>
              </w:rPr>
              <w:fldChar w:fldCharType="end"/>
            </w:r>
          </w:hyperlink>
        </w:p>
        <w:p w14:paraId="349584E2" w14:textId="77777777" w:rsidR="00CD435F" w:rsidRDefault="00D95407">
          <w:pPr>
            <w:pStyle w:val="TOC1"/>
            <w:rPr>
              <w:rFonts w:asciiTheme="minorHAnsi" w:hAnsiTheme="minorHAnsi" w:cstheme="minorBidi"/>
              <w:caps w:val="0"/>
            </w:rPr>
          </w:pPr>
          <w:hyperlink w:anchor="_Toc448905181" w:history="1">
            <w:r w:rsidR="00CD435F" w:rsidRPr="00313DB1">
              <w:rPr>
                <w:rStyle w:val="Hyperlink"/>
              </w:rPr>
              <w:t>2</w:t>
            </w:r>
            <w:r w:rsidR="00CD435F">
              <w:rPr>
                <w:rFonts w:asciiTheme="minorHAnsi" w:hAnsiTheme="minorHAnsi" w:cstheme="minorBidi"/>
                <w:caps w:val="0"/>
              </w:rPr>
              <w:tab/>
            </w:r>
            <w:r w:rsidR="00CD435F" w:rsidRPr="00313DB1">
              <w:rPr>
                <w:rStyle w:val="Hyperlink"/>
              </w:rPr>
              <w:t>Preparing and Submitting a Proposal</w:t>
            </w:r>
            <w:r w:rsidR="00CD435F">
              <w:rPr>
                <w:webHidden/>
              </w:rPr>
              <w:tab/>
            </w:r>
            <w:r w:rsidR="00CD435F">
              <w:rPr>
                <w:webHidden/>
              </w:rPr>
              <w:fldChar w:fldCharType="begin"/>
            </w:r>
            <w:r w:rsidR="00CD435F">
              <w:rPr>
                <w:webHidden/>
              </w:rPr>
              <w:instrText xml:space="preserve"> PAGEREF _Toc448905181 \h </w:instrText>
            </w:r>
            <w:r w:rsidR="00CD435F">
              <w:rPr>
                <w:webHidden/>
              </w:rPr>
            </w:r>
            <w:r w:rsidR="00CD435F">
              <w:rPr>
                <w:webHidden/>
              </w:rPr>
              <w:fldChar w:fldCharType="separate"/>
            </w:r>
            <w:r w:rsidR="0032075C">
              <w:rPr>
                <w:webHidden/>
              </w:rPr>
              <w:t>13</w:t>
            </w:r>
            <w:r w:rsidR="00CD435F">
              <w:rPr>
                <w:webHidden/>
              </w:rPr>
              <w:fldChar w:fldCharType="end"/>
            </w:r>
          </w:hyperlink>
        </w:p>
        <w:p w14:paraId="671794C9" w14:textId="77777777" w:rsidR="00CD435F" w:rsidRDefault="00D95407">
          <w:pPr>
            <w:pStyle w:val="TOC1"/>
            <w:rPr>
              <w:rFonts w:asciiTheme="minorHAnsi" w:hAnsiTheme="minorHAnsi" w:cstheme="minorBidi"/>
              <w:caps w:val="0"/>
            </w:rPr>
          </w:pPr>
          <w:hyperlink w:anchor="_Toc448905182" w:history="1">
            <w:r w:rsidR="00CD435F" w:rsidRPr="00313DB1">
              <w:rPr>
                <w:rStyle w:val="Hyperlink"/>
              </w:rPr>
              <w:t>3</w:t>
            </w:r>
            <w:r w:rsidR="00CD435F">
              <w:rPr>
                <w:rFonts w:asciiTheme="minorHAnsi" w:hAnsiTheme="minorHAnsi" w:cstheme="minorBidi"/>
                <w:caps w:val="0"/>
              </w:rPr>
              <w:tab/>
            </w:r>
            <w:r w:rsidR="00CD435F" w:rsidRPr="00313DB1">
              <w:rPr>
                <w:rStyle w:val="Hyperlink"/>
              </w:rPr>
              <w:t>Proposal Selection and Award Process</w:t>
            </w:r>
            <w:r w:rsidR="00CD435F">
              <w:rPr>
                <w:webHidden/>
              </w:rPr>
              <w:tab/>
            </w:r>
            <w:r w:rsidR="00CD435F">
              <w:rPr>
                <w:webHidden/>
              </w:rPr>
              <w:fldChar w:fldCharType="begin"/>
            </w:r>
            <w:r w:rsidR="00CD435F">
              <w:rPr>
                <w:webHidden/>
              </w:rPr>
              <w:instrText xml:space="preserve"> PAGEREF _Toc448905182 \h </w:instrText>
            </w:r>
            <w:r w:rsidR="00CD435F">
              <w:rPr>
                <w:webHidden/>
              </w:rPr>
            </w:r>
            <w:r w:rsidR="00CD435F">
              <w:rPr>
                <w:webHidden/>
              </w:rPr>
              <w:fldChar w:fldCharType="separate"/>
            </w:r>
            <w:r w:rsidR="0032075C">
              <w:rPr>
                <w:webHidden/>
              </w:rPr>
              <w:t>18</w:t>
            </w:r>
            <w:r w:rsidR="00CD435F">
              <w:rPr>
                <w:webHidden/>
              </w:rPr>
              <w:fldChar w:fldCharType="end"/>
            </w:r>
          </w:hyperlink>
        </w:p>
        <w:p w14:paraId="0EB3D630" w14:textId="77777777" w:rsidR="00CD435F" w:rsidRDefault="00D95407">
          <w:pPr>
            <w:pStyle w:val="TOC1"/>
            <w:rPr>
              <w:rFonts w:asciiTheme="minorHAnsi" w:hAnsiTheme="minorHAnsi" w:cstheme="minorBidi"/>
              <w:caps w:val="0"/>
            </w:rPr>
          </w:pPr>
          <w:hyperlink w:anchor="_Toc448905183" w:history="1">
            <w:r w:rsidR="00CD435F" w:rsidRPr="00313DB1">
              <w:rPr>
                <w:rStyle w:val="Hyperlink"/>
              </w:rPr>
              <w:t>4</w:t>
            </w:r>
            <w:r w:rsidR="00CD435F">
              <w:rPr>
                <w:rFonts w:asciiTheme="minorHAnsi" w:hAnsiTheme="minorHAnsi" w:cstheme="minorBidi"/>
                <w:caps w:val="0"/>
              </w:rPr>
              <w:tab/>
            </w:r>
            <w:r w:rsidR="00CD435F" w:rsidRPr="00313DB1">
              <w:rPr>
                <w:rStyle w:val="Hyperlink"/>
              </w:rPr>
              <w:t>Mandatory Proposer Qualifications</w:t>
            </w:r>
            <w:r w:rsidR="00CD435F">
              <w:rPr>
                <w:webHidden/>
              </w:rPr>
              <w:tab/>
            </w:r>
            <w:r w:rsidR="00CD435F">
              <w:rPr>
                <w:webHidden/>
              </w:rPr>
              <w:fldChar w:fldCharType="begin"/>
            </w:r>
            <w:r w:rsidR="00CD435F">
              <w:rPr>
                <w:webHidden/>
              </w:rPr>
              <w:instrText xml:space="preserve"> PAGEREF _Toc448905183 \h </w:instrText>
            </w:r>
            <w:r w:rsidR="00CD435F">
              <w:rPr>
                <w:webHidden/>
              </w:rPr>
            </w:r>
            <w:r w:rsidR="00CD435F">
              <w:rPr>
                <w:webHidden/>
              </w:rPr>
              <w:fldChar w:fldCharType="separate"/>
            </w:r>
            <w:r w:rsidR="0032075C">
              <w:rPr>
                <w:webHidden/>
              </w:rPr>
              <w:t>21</w:t>
            </w:r>
            <w:r w:rsidR="00CD435F">
              <w:rPr>
                <w:webHidden/>
              </w:rPr>
              <w:fldChar w:fldCharType="end"/>
            </w:r>
          </w:hyperlink>
        </w:p>
        <w:p w14:paraId="242CA9E2" w14:textId="77777777" w:rsidR="00CD435F" w:rsidRDefault="00D95407">
          <w:pPr>
            <w:pStyle w:val="TOC1"/>
            <w:rPr>
              <w:rFonts w:asciiTheme="minorHAnsi" w:hAnsiTheme="minorHAnsi" w:cstheme="minorBidi"/>
              <w:caps w:val="0"/>
            </w:rPr>
          </w:pPr>
          <w:hyperlink w:anchor="_Toc448905184" w:history="1">
            <w:r w:rsidR="00CD435F" w:rsidRPr="00313DB1">
              <w:rPr>
                <w:rStyle w:val="Hyperlink"/>
              </w:rPr>
              <w:t>5</w:t>
            </w:r>
            <w:r w:rsidR="00CD435F">
              <w:rPr>
                <w:rFonts w:asciiTheme="minorHAnsi" w:hAnsiTheme="minorHAnsi" w:cstheme="minorBidi"/>
                <w:caps w:val="0"/>
              </w:rPr>
              <w:tab/>
            </w:r>
            <w:r w:rsidR="00CD435F" w:rsidRPr="00313DB1">
              <w:rPr>
                <w:rStyle w:val="Hyperlink"/>
              </w:rPr>
              <w:t>Program Specifications</w:t>
            </w:r>
            <w:r w:rsidR="00CD435F">
              <w:rPr>
                <w:webHidden/>
              </w:rPr>
              <w:tab/>
            </w:r>
            <w:r w:rsidR="00CD435F">
              <w:rPr>
                <w:webHidden/>
              </w:rPr>
              <w:fldChar w:fldCharType="begin"/>
            </w:r>
            <w:r w:rsidR="00CD435F">
              <w:rPr>
                <w:webHidden/>
              </w:rPr>
              <w:instrText xml:space="preserve"> PAGEREF _Toc448905184 \h </w:instrText>
            </w:r>
            <w:r w:rsidR="00CD435F">
              <w:rPr>
                <w:webHidden/>
              </w:rPr>
            </w:r>
            <w:r w:rsidR="00CD435F">
              <w:rPr>
                <w:webHidden/>
              </w:rPr>
              <w:fldChar w:fldCharType="separate"/>
            </w:r>
            <w:r w:rsidR="0032075C">
              <w:rPr>
                <w:webHidden/>
              </w:rPr>
              <w:t>22</w:t>
            </w:r>
            <w:r w:rsidR="00CD435F">
              <w:rPr>
                <w:webHidden/>
              </w:rPr>
              <w:fldChar w:fldCharType="end"/>
            </w:r>
          </w:hyperlink>
        </w:p>
        <w:p w14:paraId="607E10A7" w14:textId="77777777" w:rsidR="00CD435F" w:rsidRDefault="00D95407">
          <w:pPr>
            <w:pStyle w:val="TOC1"/>
            <w:rPr>
              <w:rFonts w:asciiTheme="minorHAnsi" w:hAnsiTheme="minorHAnsi" w:cstheme="minorBidi"/>
              <w:caps w:val="0"/>
            </w:rPr>
          </w:pPr>
          <w:hyperlink w:anchor="_Toc448905185" w:history="1">
            <w:r w:rsidR="00CD435F" w:rsidRPr="00313DB1">
              <w:rPr>
                <w:rStyle w:val="Hyperlink"/>
              </w:rPr>
              <w:t>6</w:t>
            </w:r>
            <w:r w:rsidR="00CD435F">
              <w:rPr>
                <w:rFonts w:asciiTheme="minorHAnsi" w:hAnsiTheme="minorHAnsi" w:cstheme="minorBidi"/>
                <w:caps w:val="0"/>
              </w:rPr>
              <w:tab/>
            </w:r>
            <w:r w:rsidR="00CD435F" w:rsidRPr="00313DB1">
              <w:rPr>
                <w:rStyle w:val="Hyperlink"/>
              </w:rPr>
              <w:t>General Questionnaire</w:t>
            </w:r>
            <w:r w:rsidR="00CD435F">
              <w:rPr>
                <w:webHidden/>
              </w:rPr>
              <w:tab/>
            </w:r>
            <w:r w:rsidR="00CD435F">
              <w:rPr>
                <w:webHidden/>
              </w:rPr>
              <w:fldChar w:fldCharType="begin"/>
            </w:r>
            <w:r w:rsidR="00CD435F">
              <w:rPr>
                <w:webHidden/>
              </w:rPr>
              <w:instrText xml:space="preserve"> PAGEREF _Toc448905185 \h </w:instrText>
            </w:r>
            <w:r w:rsidR="00CD435F">
              <w:rPr>
                <w:webHidden/>
              </w:rPr>
            </w:r>
            <w:r w:rsidR="00CD435F">
              <w:rPr>
                <w:webHidden/>
              </w:rPr>
              <w:fldChar w:fldCharType="separate"/>
            </w:r>
            <w:r w:rsidR="0032075C">
              <w:rPr>
                <w:webHidden/>
              </w:rPr>
              <w:t>47</w:t>
            </w:r>
            <w:r w:rsidR="00CD435F">
              <w:rPr>
                <w:webHidden/>
              </w:rPr>
              <w:fldChar w:fldCharType="end"/>
            </w:r>
          </w:hyperlink>
        </w:p>
        <w:p w14:paraId="5F51B06E" w14:textId="77777777" w:rsidR="00CD435F" w:rsidRDefault="00D95407">
          <w:pPr>
            <w:pStyle w:val="TOC1"/>
            <w:rPr>
              <w:rFonts w:asciiTheme="minorHAnsi" w:hAnsiTheme="minorHAnsi" w:cstheme="minorBidi"/>
              <w:caps w:val="0"/>
            </w:rPr>
          </w:pPr>
          <w:hyperlink w:anchor="_Toc448905186" w:history="1">
            <w:r w:rsidR="00CD435F" w:rsidRPr="00313DB1">
              <w:rPr>
                <w:rStyle w:val="Hyperlink"/>
              </w:rPr>
              <w:t>7</w:t>
            </w:r>
            <w:r w:rsidR="00CD435F">
              <w:rPr>
                <w:rFonts w:asciiTheme="minorHAnsi" w:hAnsiTheme="minorHAnsi" w:cstheme="minorBidi"/>
                <w:caps w:val="0"/>
              </w:rPr>
              <w:tab/>
            </w:r>
            <w:r w:rsidR="00CD435F" w:rsidRPr="00313DB1">
              <w:rPr>
                <w:rStyle w:val="Hyperlink"/>
              </w:rPr>
              <w:t>Third Party Administrative Services Questionnaire</w:t>
            </w:r>
            <w:r w:rsidR="00CD435F">
              <w:rPr>
                <w:webHidden/>
              </w:rPr>
              <w:tab/>
            </w:r>
            <w:r w:rsidR="00CD435F">
              <w:rPr>
                <w:webHidden/>
              </w:rPr>
              <w:fldChar w:fldCharType="begin"/>
            </w:r>
            <w:r w:rsidR="00CD435F">
              <w:rPr>
                <w:webHidden/>
              </w:rPr>
              <w:instrText xml:space="preserve"> PAGEREF _Toc448905186 \h </w:instrText>
            </w:r>
            <w:r w:rsidR="00CD435F">
              <w:rPr>
                <w:webHidden/>
              </w:rPr>
            </w:r>
            <w:r w:rsidR="00CD435F">
              <w:rPr>
                <w:webHidden/>
              </w:rPr>
              <w:fldChar w:fldCharType="separate"/>
            </w:r>
            <w:r w:rsidR="0032075C">
              <w:rPr>
                <w:webHidden/>
              </w:rPr>
              <w:t>51</w:t>
            </w:r>
            <w:r w:rsidR="00CD435F">
              <w:rPr>
                <w:webHidden/>
              </w:rPr>
              <w:fldChar w:fldCharType="end"/>
            </w:r>
          </w:hyperlink>
        </w:p>
        <w:p w14:paraId="5BEA5D07" w14:textId="77777777" w:rsidR="00CD435F" w:rsidRDefault="00D95407">
          <w:pPr>
            <w:pStyle w:val="TOC1"/>
            <w:rPr>
              <w:rFonts w:asciiTheme="minorHAnsi" w:hAnsiTheme="minorHAnsi" w:cstheme="minorBidi"/>
              <w:caps w:val="0"/>
            </w:rPr>
          </w:pPr>
          <w:hyperlink w:anchor="_Toc448905187" w:history="1">
            <w:r w:rsidR="00CD435F" w:rsidRPr="00313DB1">
              <w:rPr>
                <w:rStyle w:val="Hyperlink"/>
              </w:rPr>
              <w:t>8</w:t>
            </w:r>
            <w:r w:rsidR="00CD435F">
              <w:rPr>
                <w:rFonts w:asciiTheme="minorHAnsi" w:hAnsiTheme="minorHAnsi" w:cstheme="minorBidi"/>
                <w:caps w:val="0"/>
              </w:rPr>
              <w:tab/>
            </w:r>
            <w:r w:rsidR="00CD435F" w:rsidRPr="00313DB1">
              <w:rPr>
                <w:rStyle w:val="Hyperlink"/>
              </w:rPr>
              <w:t>Cost</w:t>
            </w:r>
            <w:r w:rsidR="00CD435F">
              <w:rPr>
                <w:webHidden/>
              </w:rPr>
              <w:tab/>
            </w:r>
            <w:r w:rsidR="00CD435F">
              <w:rPr>
                <w:webHidden/>
              </w:rPr>
              <w:fldChar w:fldCharType="begin"/>
            </w:r>
            <w:r w:rsidR="00CD435F">
              <w:rPr>
                <w:webHidden/>
              </w:rPr>
              <w:instrText xml:space="preserve"> PAGEREF _Toc448905187 \h </w:instrText>
            </w:r>
            <w:r w:rsidR="00CD435F">
              <w:rPr>
                <w:webHidden/>
              </w:rPr>
            </w:r>
            <w:r w:rsidR="00CD435F">
              <w:rPr>
                <w:webHidden/>
              </w:rPr>
              <w:fldChar w:fldCharType="separate"/>
            </w:r>
            <w:r w:rsidR="0032075C">
              <w:rPr>
                <w:webHidden/>
              </w:rPr>
              <w:t>53</w:t>
            </w:r>
            <w:r w:rsidR="00CD435F">
              <w:rPr>
                <w:webHidden/>
              </w:rPr>
              <w:fldChar w:fldCharType="end"/>
            </w:r>
          </w:hyperlink>
        </w:p>
        <w:p w14:paraId="48FFB30E" w14:textId="77777777" w:rsidR="00CD435F" w:rsidRDefault="00D95407">
          <w:pPr>
            <w:pStyle w:val="TOC1"/>
            <w:rPr>
              <w:rFonts w:asciiTheme="minorHAnsi" w:hAnsiTheme="minorHAnsi" w:cstheme="minorBidi"/>
              <w:caps w:val="0"/>
            </w:rPr>
          </w:pPr>
          <w:hyperlink w:anchor="_Toc448905188" w:history="1">
            <w:r w:rsidR="00CD435F" w:rsidRPr="00313DB1">
              <w:rPr>
                <w:rStyle w:val="Hyperlink"/>
              </w:rPr>
              <w:t>9</w:t>
            </w:r>
            <w:r w:rsidR="00CD435F">
              <w:rPr>
                <w:rFonts w:asciiTheme="minorHAnsi" w:hAnsiTheme="minorHAnsi" w:cstheme="minorBidi"/>
                <w:caps w:val="0"/>
              </w:rPr>
              <w:tab/>
            </w:r>
            <w:r w:rsidR="00CD435F" w:rsidRPr="00313DB1">
              <w:rPr>
                <w:rStyle w:val="Hyperlink"/>
              </w:rPr>
              <w:t>Contract Terms and Conditions</w:t>
            </w:r>
            <w:r w:rsidR="00CD435F">
              <w:rPr>
                <w:webHidden/>
              </w:rPr>
              <w:tab/>
            </w:r>
            <w:r w:rsidR="00CD435F">
              <w:rPr>
                <w:webHidden/>
              </w:rPr>
              <w:fldChar w:fldCharType="begin"/>
            </w:r>
            <w:r w:rsidR="00CD435F">
              <w:rPr>
                <w:webHidden/>
              </w:rPr>
              <w:instrText xml:space="preserve"> PAGEREF _Toc448905188 \h </w:instrText>
            </w:r>
            <w:r w:rsidR="00CD435F">
              <w:rPr>
                <w:webHidden/>
              </w:rPr>
            </w:r>
            <w:r w:rsidR="00CD435F">
              <w:rPr>
                <w:webHidden/>
              </w:rPr>
              <w:fldChar w:fldCharType="separate"/>
            </w:r>
            <w:r w:rsidR="0032075C">
              <w:rPr>
                <w:webHidden/>
              </w:rPr>
              <w:t>54</w:t>
            </w:r>
            <w:r w:rsidR="00CD435F">
              <w:rPr>
                <w:webHidden/>
              </w:rPr>
              <w:fldChar w:fldCharType="end"/>
            </w:r>
          </w:hyperlink>
        </w:p>
        <w:p w14:paraId="71847D6E" w14:textId="5843C9D3" w:rsidR="005C36DC" w:rsidRPr="00273653" w:rsidRDefault="00D95407" w:rsidP="002A3195">
          <w:pPr>
            <w:pStyle w:val="TOC1"/>
            <w:rPr>
              <w:rFonts w:cs="Arial"/>
              <w:b/>
              <w:bCs/>
            </w:rPr>
          </w:pPr>
          <w:hyperlink w:anchor="_Toc448905189" w:history="1">
            <w:r w:rsidR="00CD435F" w:rsidRPr="00313DB1">
              <w:rPr>
                <w:rStyle w:val="Hyperlink"/>
              </w:rPr>
              <w:t>10</w:t>
            </w:r>
            <w:r w:rsidR="00CD435F">
              <w:rPr>
                <w:rFonts w:asciiTheme="minorHAnsi" w:hAnsiTheme="minorHAnsi" w:cstheme="minorBidi"/>
                <w:caps w:val="0"/>
              </w:rPr>
              <w:tab/>
            </w:r>
            <w:r w:rsidR="00CD435F" w:rsidRPr="00313DB1">
              <w:rPr>
                <w:rStyle w:val="Hyperlink"/>
              </w:rPr>
              <w:t>Required Forms</w:t>
            </w:r>
            <w:r w:rsidR="00CD435F">
              <w:rPr>
                <w:webHidden/>
              </w:rPr>
              <w:tab/>
            </w:r>
            <w:r w:rsidR="00CD435F">
              <w:rPr>
                <w:webHidden/>
              </w:rPr>
              <w:fldChar w:fldCharType="begin"/>
            </w:r>
            <w:r w:rsidR="00CD435F">
              <w:rPr>
                <w:webHidden/>
              </w:rPr>
              <w:instrText xml:space="preserve"> PAGEREF _Toc448905189 \h </w:instrText>
            </w:r>
            <w:r w:rsidR="00CD435F">
              <w:rPr>
                <w:webHidden/>
              </w:rPr>
            </w:r>
            <w:r w:rsidR="00CD435F">
              <w:rPr>
                <w:webHidden/>
              </w:rPr>
              <w:fldChar w:fldCharType="separate"/>
            </w:r>
            <w:r w:rsidR="0032075C">
              <w:rPr>
                <w:webHidden/>
              </w:rPr>
              <w:t>54</w:t>
            </w:r>
            <w:r w:rsidR="00CD435F">
              <w:rPr>
                <w:webHidden/>
              </w:rPr>
              <w:fldChar w:fldCharType="end"/>
            </w:r>
          </w:hyperlink>
          <w:r w:rsidR="00485FE0" w:rsidRPr="00273653">
            <w:rPr>
              <w:rFonts w:cs="Arial"/>
              <w:caps w:val="0"/>
            </w:rPr>
            <w:fldChar w:fldCharType="end"/>
          </w:r>
        </w:p>
      </w:sdtContent>
    </w:sdt>
    <w:p w14:paraId="2E795D76" w14:textId="3390F65A" w:rsidR="00C023DB" w:rsidRPr="00273653" w:rsidRDefault="003434C9" w:rsidP="00C023DB">
      <w:pPr>
        <w:pStyle w:val="Appdx2"/>
      </w:pPr>
      <w:bookmarkStart w:id="5" w:name="_Toc448905178"/>
      <w:bookmarkStart w:id="6" w:name="_Toc398562521"/>
      <w:r>
        <w:t xml:space="preserve">Exhibits and </w:t>
      </w:r>
      <w:r w:rsidR="00C023DB">
        <w:t>Appendices</w:t>
      </w:r>
      <w:bookmarkEnd w:id="5"/>
    </w:p>
    <w:p w14:paraId="3DE5CA5C" w14:textId="698705A6" w:rsidR="003434C9" w:rsidRDefault="003434C9" w:rsidP="00F01E1A">
      <w:pPr>
        <w:pStyle w:val="LRWLBodyTextBullet1"/>
        <w:numPr>
          <w:ilvl w:val="0"/>
          <w:numId w:val="49"/>
        </w:numPr>
        <w:rPr>
          <w:rFonts w:cs="Arial"/>
        </w:rPr>
      </w:pPr>
      <w:r>
        <w:rPr>
          <w:rFonts w:cs="Arial"/>
        </w:rPr>
        <w:t>Exhibit 1 – Pro Forma Contract</w:t>
      </w:r>
    </w:p>
    <w:p w14:paraId="280A63D6" w14:textId="453C9021" w:rsidR="003434C9" w:rsidRPr="00DA75D2" w:rsidRDefault="003434C9" w:rsidP="00F01E1A">
      <w:pPr>
        <w:pStyle w:val="LRWLBodyTextBullet1"/>
        <w:numPr>
          <w:ilvl w:val="0"/>
          <w:numId w:val="49"/>
        </w:numPr>
        <w:rPr>
          <w:rFonts w:cs="Arial"/>
        </w:rPr>
      </w:pPr>
      <w:r>
        <w:rPr>
          <w:rFonts w:cs="Arial"/>
        </w:rPr>
        <w:t xml:space="preserve">Exhibit 2 </w:t>
      </w:r>
      <w:r w:rsidR="003E0135">
        <w:rPr>
          <w:rFonts w:cs="Arial"/>
        </w:rPr>
        <w:t>–</w:t>
      </w:r>
      <w:r>
        <w:rPr>
          <w:rFonts w:cs="Arial"/>
        </w:rPr>
        <w:t xml:space="preserve"> </w:t>
      </w:r>
      <w:r w:rsidRPr="00DA75D2">
        <w:rPr>
          <w:rFonts w:cs="Arial"/>
        </w:rPr>
        <w:t>Standard Terms and Conditions (DOA-3054)</w:t>
      </w:r>
    </w:p>
    <w:p w14:paraId="1FD94C36" w14:textId="438173C9" w:rsidR="003434C9" w:rsidRPr="00DA75D2" w:rsidRDefault="003434C9" w:rsidP="00F01E1A">
      <w:pPr>
        <w:pStyle w:val="LRWLBodyTextBullet1"/>
        <w:numPr>
          <w:ilvl w:val="0"/>
          <w:numId w:val="49"/>
        </w:numPr>
        <w:rPr>
          <w:rFonts w:cs="Arial"/>
        </w:rPr>
      </w:pPr>
      <w:r>
        <w:rPr>
          <w:rFonts w:cs="Arial"/>
        </w:rPr>
        <w:t xml:space="preserve">Exhibit 3 </w:t>
      </w:r>
      <w:r w:rsidR="003E0135">
        <w:rPr>
          <w:rFonts w:cs="Arial"/>
        </w:rPr>
        <w:t>–</w:t>
      </w:r>
      <w:r>
        <w:rPr>
          <w:rFonts w:cs="Arial"/>
        </w:rPr>
        <w:t xml:space="preserve"> </w:t>
      </w:r>
      <w:r w:rsidRPr="00DA75D2">
        <w:rPr>
          <w:rFonts w:cs="Arial"/>
        </w:rPr>
        <w:t xml:space="preserve">Supplemental Standard Terms </w:t>
      </w:r>
      <w:r w:rsidR="00CD435F">
        <w:rPr>
          <w:rFonts w:cs="Arial"/>
        </w:rPr>
        <w:t>and</w:t>
      </w:r>
      <w:r w:rsidRPr="00DA75D2">
        <w:rPr>
          <w:rFonts w:cs="Arial"/>
        </w:rPr>
        <w:t xml:space="preserve"> Conditions for Procurement for Services (DOA-3681)</w:t>
      </w:r>
    </w:p>
    <w:p w14:paraId="7DB024F7" w14:textId="4CBC096E" w:rsidR="003434C9" w:rsidRDefault="003434C9" w:rsidP="00F01E1A">
      <w:pPr>
        <w:pStyle w:val="LRWLBodyTextBullet1"/>
        <w:numPr>
          <w:ilvl w:val="0"/>
          <w:numId w:val="49"/>
        </w:numPr>
        <w:rPr>
          <w:rFonts w:cs="Arial"/>
        </w:rPr>
      </w:pPr>
      <w:r>
        <w:rPr>
          <w:rFonts w:cs="Arial"/>
        </w:rPr>
        <w:t>Exhibit 4 – Department Terms and Conditions</w:t>
      </w:r>
    </w:p>
    <w:p w14:paraId="01033B3B" w14:textId="3256ED5A" w:rsidR="00C023DB" w:rsidRPr="003434C9" w:rsidRDefault="00C023DB" w:rsidP="00F01E1A">
      <w:pPr>
        <w:pStyle w:val="LRWLBodyTextBullet1"/>
        <w:numPr>
          <w:ilvl w:val="0"/>
          <w:numId w:val="49"/>
        </w:numPr>
        <w:rPr>
          <w:rFonts w:cs="Arial"/>
        </w:rPr>
      </w:pPr>
      <w:r w:rsidRPr="003434C9">
        <w:rPr>
          <w:rFonts w:cs="Arial"/>
        </w:rPr>
        <w:t>Appendix</w:t>
      </w:r>
      <w:r w:rsidRPr="00DE2013">
        <w:rPr>
          <w:rFonts w:cs="Arial"/>
        </w:rPr>
        <w:t xml:space="preserve"> 1 </w:t>
      </w:r>
      <w:r w:rsidR="00007F33" w:rsidRPr="009F4E74">
        <w:rPr>
          <w:rFonts w:cs="Arial"/>
        </w:rPr>
        <w:t xml:space="preserve">– State of Wisconsin </w:t>
      </w:r>
      <w:r w:rsidRPr="003434C9">
        <w:rPr>
          <w:rFonts w:cs="Arial"/>
        </w:rPr>
        <w:t>Enrollment Data</w:t>
      </w:r>
    </w:p>
    <w:p w14:paraId="39C30AEF" w14:textId="562A4197" w:rsidR="00D970C9" w:rsidRDefault="00D970C9" w:rsidP="00F01E1A">
      <w:pPr>
        <w:pStyle w:val="LRWLBodyTextBullet1"/>
        <w:numPr>
          <w:ilvl w:val="0"/>
          <w:numId w:val="49"/>
        </w:numPr>
        <w:rPr>
          <w:rFonts w:cs="Arial"/>
        </w:rPr>
      </w:pPr>
      <w:r>
        <w:rPr>
          <w:rFonts w:cs="Arial"/>
        </w:rPr>
        <w:t xml:space="preserve">Appendix 2 </w:t>
      </w:r>
      <w:r w:rsidRPr="00DA75D2">
        <w:rPr>
          <w:rFonts w:cs="Arial"/>
        </w:rPr>
        <w:t xml:space="preserve">– </w:t>
      </w:r>
      <w:r w:rsidRPr="00D970C9">
        <w:rPr>
          <w:rFonts w:cs="Arial"/>
        </w:rPr>
        <w:t>GHIP</w:t>
      </w:r>
      <w:r w:rsidR="0002188E">
        <w:rPr>
          <w:rFonts w:cs="Arial"/>
        </w:rPr>
        <w:t>-</w:t>
      </w:r>
      <w:r w:rsidRPr="00D970C9">
        <w:rPr>
          <w:rFonts w:cs="Arial"/>
        </w:rPr>
        <w:t>WPE Employer Group Detail</w:t>
      </w:r>
    </w:p>
    <w:p w14:paraId="64B83002" w14:textId="6190EB1A" w:rsidR="0047421A" w:rsidRPr="003434C9" w:rsidRDefault="0047421A" w:rsidP="00F01E1A">
      <w:pPr>
        <w:pStyle w:val="LRWLBodyTextBullet1"/>
        <w:numPr>
          <w:ilvl w:val="0"/>
          <w:numId w:val="49"/>
        </w:numPr>
        <w:rPr>
          <w:rFonts w:cs="Arial"/>
        </w:rPr>
      </w:pPr>
      <w:r w:rsidRPr="003434C9">
        <w:rPr>
          <w:rFonts w:cs="Arial"/>
        </w:rPr>
        <w:t xml:space="preserve">Appendix </w:t>
      </w:r>
      <w:r w:rsidR="0010387C">
        <w:rPr>
          <w:rFonts w:cs="Arial"/>
        </w:rPr>
        <w:t>3</w:t>
      </w:r>
      <w:r w:rsidRPr="003434C9">
        <w:rPr>
          <w:rFonts w:cs="Arial"/>
        </w:rPr>
        <w:t xml:space="preserve"> –</w:t>
      </w:r>
      <w:r w:rsidRPr="00DE2013">
        <w:rPr>
          <w:rFonts w:cs="Arial"/>
        </w:rPr>
        <w:t xml:space="preserve"> </w:t>
      </w:r>
      <w:r w:rsidRPr="009F4E74">
        <w:rPr>
          <w:rFonts w:cs="Arial"/>
        </w:rPr>
        <w:t xml:space="preserve">Department of Corrections (DOC) </w:t>
      </w:r>
      <w:r w:rsidRPr="003434C9">
        <w:rPr>
          <w:rFonts w:cs="Arial"/>
        </w:rPr>
        <w:t xml:space="preserve">Work Locations </w:t>
      </w:r>
    </w:p>
    <w:p w14:paraId="31DE5DD5" w14:textId="55143B9A" w:rsidR="00DC6FAB" w:rsidRPr="00A71F5A" w:rsidRDefault="00C023DB" w:rsidP="00F01E1A">
      <w:pPr>
        <w:pStyle w:val="LRWLBodyTextBullet1"/>
        <w:numPr>
          <w:ilvl w:val="0"/>
          <w:numId w:val="49"/>
        </w:numPr>
        <w:rPr>
          <w:rFonts w:cs="Arial"/>
        </w:rPr>
      </w:pPr>
      <w:r w:rsidRPr="003434C9">
        <w:rPr>
          <w:rFonts w:cs="Arial"/>
        </w:rPr>
        <w:t xml:space="preserve">Appendix </w:t>
      </w:r>
      <w:r w:rsidR="0002188E">
        <w:rPr>
          <w:rFonts w:cs="Arial"/>
        </w:rPr>
        <w:t>4</w:t>
      </w:r>
      <w:r w:rsidRPr="003434C9">
        <w:rPr>
          <w:rFonts w:cs="Arial"/>
        </w:rPr>
        <w:t xml:space="preserve"> – State Work Locations </w:t>
      </w:r>
      <w:r w:rsidR="0047421A" w:rsidRPr="003434C9">
        <w:rPr>
          <w:rFonts w:cs="Arial"/>
        </w:rPr>
        <w:t>(non-DOC)</w:t>
      </w:r>
    </w:p>
    <w:p w14:paraId="6DFC6721" w14:textId="3D0E3928" w:rsidR="00C023DB" w:rsidRPr="00E73A34" w:rsidRDefault="00C023DB" w:rsidP="00F01E1A">
      <w:pPr>
        <w:pStyle w:val="LRWLBodyTextBullet1"/>
        <w:numPr>
          <w:ilvl w:val="0"/>
          <w:numId w:val="49"/>
        </w:numPr>
        <w:rPr>
          <w:rFonts w:cs="Arial"/>
        </w:rPr>
      </w:pPr>
      <w:r w:rsidRPr="00E73A34">
        <w:rPr>
          <w:rFonts w:cs="Arial"/>
        </w:rPr>
        <w:t>Appendix 5 – 834 Companion Guide</w:t>
      </w:r>
    </w:p>
    <w:p w14:paraId="21F7E14E" w14:textId="32439B4C" w:rsidR="00411D92" w:rsidRPr="003434C9" w:rsidRDefault="00411D92" w:rsidP="00F01E1A">
      <w:pPr>
        <w:pStyle w:val="LRWLBodyTextBullet1"/>
        <w:numPr>
          <w:ilvl w:val="0"/>
          <w:numId w:val="49"/>
        </w:numPr>
        <w:rPr>
          <w:rFonts w:cs="Arial"/>
        </w:rPr>
      </w:pPr>
      <w:r w:rsidRPr="003434C9">
        <w:rPr>
          <w:rFonts w:cs="Arial"/>
        </w:rPr>
        <w:t>Appendix 6 – Reporting Requirements</w:t>
      </w:r>
    </w:p>
    <w:p w14:paraId="72CFD435" w14:textId="1674AD39" w:rsidR="0017205A" w:rsidRDefault="0017205A" w:rsidP="00F01E1A">
      <w:pPr>
        <w:pStyle w:val="LRWLBodyTextBullet1"/>
        <w:numPr>
          <w:ilvl w:val="0"/>
          <w:numId w:val="49"/>
        </w:numPr>
        <w:rPr>
          <w:rFonts w:cs="Arial"/>
        </w:rPr>
      </w:pPr>
      <w:r w:rsidRPr="003434C9">
        <w:rPr>
          <w:rFonts w:cs="Arial"/>
        </w:rPr>
        <w:t>Appendix 7 – Performance Standards</w:t>
      </w:r>
    </w:p>
    <w:p w14:paraId="02CCE684" w14:textId="77777777" w:rsidR="00B060A5" w:rsidRPr="00273653" w:rsidRDefault="00B060A5" w:rsidP="00894D41">
      <w:pPr>
        <w:pStyle w:val="Appdx2"/>
      </w:pPr>
      <w:bookmarkStart w:id="7" w:name="_Toc448905179"/>
      <w:r w:rsidRPr="00273653">
        <w:t>Tables</w:t>
      </w:r>
      <w:bookmarkEnd w:id="7"/>
    </w:p>
    <w:p w14:paraId="37DCC407" w14:textId="19C4B7CD" w:rsidR="00104A41" w:rsidRDefault="009733E4" w:rsidP="00F01E1A">
      <w:pPr>
        <w:pStyle w:val="LRWLBodyTextBullet1"/>
        <w:numPr>
          <w:ilvl w:val="0"/>
          <w:numId w:val="50"/>
        </w:numPr>
        <w:rPr>
          <w:rFonts w:cs="Arial"/>
        </w:rPr>
      </w:pPr>
      <w:r w:rsidRPr="00451A40">
        <w:rPr>
          <w:rFonts w:cs="Arial"/>
        </w:rPr>
        <w:t xml:space="preserve">Table 1 – </w:t>
      </w:r>
      <w:r w:rsidR="00104A41">
        <w:rPr>
          <w:rFonts w:cs="Arial"/>
        </w:rPr>
        <w:t>Enrollment Data</w:t>
      </w:r>
    </w:p>
    <w:p w14:paraId="6817AE2C" w14:textId="65B39490" w:rsidR="00564C5E" w:rsidRDefault="00104A41" w:rsidP="00F01E1A">
      <w:pPr>
        <w:pStyle w:val="LRWLBodyTextBullet1"/>
        <w:numPr>
          <w:ilvl w:val="0"/>
          <w:numId w:val="50"/>
        </w:numPr>
        <w:rPr>
          <w:rFonts w:cs="Arial"/>
        </w:rPr>
      </w:pPr>
      <w:r>
        <w:rPr>
          <w:rFonts w:cs="Arial"/>
        </w:rPr>
        <w:t xml:space="preserve">Table 2 </w:t>
      </w:r>
      <w:r w:rsidR="00564C5E">
        <w:rPr>
          <w:rFonts w:cs="Arial"/>
        </w:rPr>
        <w:t>– Background Information</w:t>
      </w:r>
    </w:p>
    <w:p w14:paraId="2AB28D4E" w14:textId="1F7839CE" w:rsidR="00564C5E" w:rsidRDefault="00564C5E" w:rsidP="00F01E1A">
      <w:pPr>
        <w:pStyle w:val="LRWLBodyTextBullet1"/>
        <w:numPr>
          <w:ilvl w:val="0"/>
          <w:numId w:val="50"/>
        </w:numPr>
        <w:rPr>
          <w:rFonts w:cs="Arial"/>
        </w:rPr>
      </w:pPr>
      <w:r>
        <w:rPr>
          <w:rFonts w:cs="Arial"/>
        </w:rPr>
        <w:t xml:space="preserve">Table 3 </w:t>
      </w:r>
      <w:r w:rsidR="00265E45" w:rsidRPr="00564C5E">
        <w:rPr>
          <w:rFonts w:cs="Arial"/>
        </w:rPr>
        <w:t>–</w:t>
      </w:r>
      <w:r>
        <w:rPr>
          <w:rFonts w:cs="Arial"/>
        </w:rPr>
        <w:t xml:space="preserve"> </w:t>
      </w:r>
      <w:r w:rsidRPr="002B3634">
        <w:t>Format for Submission of Clarification Questions</w:t>
      </w:r>
    </w:p>
    <w:p w14:paraId="5B30CEC1" w14:textId="26ABEFD2" w:rsidR="00B060A5" w:rsidRPr="00564C5E" w:rsidRDefault="00564C5E" w:rsidP="00F01E1A">
      <w:pPr>
        <w:pStyle w:val="LRWLBodyTextBullet1"/>
        <w:numPr>
          <w:ilvl w:val="0"/>
          <w:numId w:val="50"/>
        </w:numPr>
        <w:rPr>
          <w:rFonts w:cs="Arial"/>
        </w:rPr>
      </w:pPr>
      <w:r w:rsidRPr="00564C5E">
        <w:rPr>
          <w:rFonts w:cs="Arial"/>
        </w:rPr>
        <w:t>Table 4</w:t>
      </w:r>
      <w:r w:rsidR="009733E4" w:rsidRPr="00564C5E">
        <w:rPr>
          <w:rFonts w:cs="Arial"/>
        </w:rPr>
        <w:t xml:space="preserve"> – Calendar</w:t>
      </w:r>
      <w:r w:rsidR="001B34B9" w:rsidRPr="00564C5E">
        <w:rPr>
          <w:rFonts w:cs="Arial"/>
        </w:rPr>
        <w:t xml:space="preserve"> of Events</w:t>
      </w:r>
    </w:p>
    <w:p w14:paraId="47A72735" w14:textId="50EFF277" w:rsidR="00C023DB" w:rsidRPr="00564C5E" w:rsidRDefault="00B060A5" w:rsidP="00F01E1A">
      <w:pPr>
        <w:pStyle w:val="LRWLBodyTextBullet1"/>
        <w:numPr>
          <w:ilvl w:val="0"/>
          <w:numId w:val="50"/>
        </w:numPr>
        <w:rPr>
          <w:rFonts w:cs="Arial"/>
        </w:rPr>
      </w:pPr>
      <w:r w:rsidRPr="00564C5E">
        <w:rPr>
          <w:rFonts w:cs="Arial"/>
        </w:rPr>
        <w:t>T</w:t>
      </w:r>
      <w:r w:rsidR="001B34B9" w:rsidRPr="00564C5E">
        <w:rPr>
          <w:rFonts w:cs="Arial"/>
        </w:rPr>
        <w:t xml:space="preserve">able </w:t>
      </w:r>
      <w:r w:rsidR="00564C5E">
        <w:rPr>
          <w:rFonts w:cs="Arial"/>
        </w:rPr>
        <w:t>5</w:t>
      </w:r>
      <w:r w:rsidR="009733E4" w:rsidRPr="00564C5E">
        <w:rPr>
          <w:rFonts w:cs="Arial"/>
        </w:rPr>
        <w:t xml:space="preserve"> – Evaluation </w:t>
      </w:r>
      <w:r w:rsidR="005F1EEF" w:rsidRPr="00564C5E">
        <w:rPr>
          <w:rFonts w:cs="Arial"/>
        </w:rPr>
        <w:t>Criteria</w:t>
      </w:r>
    </w:p>
    <w:p w14:paraId="143687D5" w14:textId="2E48F83B" w:rsidR="006456A2" w:rsidRPr="00273653" w:rsidRDefault="00933708" w:rsidP="00902AC4">
      <w:pPr>
        <w:pStyle w:val="Heading1"/>
      </w:pPr>
      <w:bookmarkStart w:id="8" w:name="_Toc398562522"/>
      <w:bookmarkEnd w:id="0"/>
      <w:bookmarkEnd w:id="6"/>
      <w:r w:rsidRPr="00273653">
        <w:rPr>
          <w:rFonts w:ascii="Arial" w:hAnsi="Arial" w:cs="Arial"/>
          <w:highlight w:val="lightGray"/>
        </w:rPr>
        <w:br w:type="page"/>
      </w:r>
      <w:bookmarkStart w:id="9" w:name="_Toc448905180"/>
      <w:r w:rsidR="006456A2" w:rsidRPr="00273653">
        <w:lastRenderedPageBreak/>
        <w:t xml:space="preserve">General </w:t>
      </w:r>
      <w:r w:rsidR="006456A2" w:rsidRPr="00902AC4">
        <w:t>Information</w:t>
      </w:r>
      <w:bookmarkEnd w:id="8"/>
      <w:bookmarkEnd w:id="9"/>
    </w:p>
    <w:p w14:paraId="0B05A164" w14:textId="60D5A9E7" w:rsidR="006456A2" w:rsidRPr="00273653" w:rsidRDefault="006456A2" w:rsidP="003F1037">
      <w:pPr>
        <w:pStyle w:val="Heading2"/>
        <w:tabs>
          <w:tab w:val="clear" w:pos="1926"/>
          <w:tab w:val="left" w:pos="630"/>
        </w:tabs>
        <w:ind w:left="720" w:hanging="720"/>
      </w:pPr>
      <w:r w:rsidRPr="00273653">
        <w:t>Introduction</w:t>
      </w:r>
    </w:p>
    <w:p w14:paraId="3F8FBE8A" w14:textId="088D813D" w:rsidR="00C15A94" w:rsidRPr="00EF5593" w:rsidRDefault="00C15A94" w:rsidP="00C15A94">
      <w:pPr>
        <w:rPr>
          <w:rFonts w:ascii="Arial" w:hAnsi="Arial" w:cs="Arial"/>
        </w:rPr>
      </w:pPr>
      <w:r w:rsidRPr="00EF5593">
        <w:rPr>
          <w:rFonts w:ascii="Arial" w:hAnsi="Arial" w:cs="Arial"/>
        </w:rPr>
        <w:t xml:space="preserve">The purpose of </w:t>
      </w:r>
      <w:r>
        <w:rPr>
          <w:rFonts w:ascii="Arial" w:hAnsi="Arial" w:cs="Arial"/>
        </w:rPr>
        <w:t>this</w:t>
      </w:r>
      <w:r w:rsidRPr="00EF5593">
        <w:rPr>
          <w:rFonts w:ascii="Arial" w:hAnsi="Arial" w:cs="Arial"/>
        </w:rPr>
        <w:t xml:space="preserve"> Request for Proposal</w:t>
      </w:r>
      <w:r>
        <w:rPr>
          <w:rFonts w:ascii="Arial" w:hAnsi="Arial" w:cs="Arial"/>
        </w:rPr>
        <w:t xml:space="preserve"> (RFP)</w:t>
      </w:r>
      <w:r w:rsidRPr="00EF5593">
        <w:rPr>
          <w:rFonts w:ascii="Arial" w:hAnsi="Arial" w:cs="Arial"/>
        </w:rPr>
        <w:t xml:space="preserve"> is to provide interested </w:t>
      </w:r>
      <w:r>
        <w:rPr>
          <w:rFonts w:ascii="Arial" w:hAnsi="Arial" w:cs="Arial"/>
        </w:rPr>
        <w:t xml:space="preserve">and qualified </w:t>
      </w:r>
      <w:r w:rsidRPr="00EF5593">
        <w:rPr>
          <w:rFonts w:ascii="Arial" w:hAnsi="Arial" w:cs="Arial"/>
        </w:rPr>
        <w:t xml:space="preserve">parties with information to enable them to prepare and submit a proposal for </w:t>
      </w:r>
      <w:r>
        <w:rPr>
          <w:rFonts w:ascii="Arial" w:hAnsi="Arial" w:cs="Arial"/>
        </w:rPr>
        <w:t>the t</w:t>
      </w:r>
      <w:r w:rsidRPr="00EF5593">
        <w:rPr>
          <w:rFonts w:ascii="Arial" w:hAnsi="Arial" w:cs="Arial"/>
        </w:rPr>
        <w:t xml:space="preserve">hird </w:t>
      </w:r>
      <w:r>
        <w:rPr>
          <w:rFonts w:ascii="Arial" w:hAnsi="Arial" w:cs="Arial"/>
        </w:rPr>
        <w:t>p</w:t>
      </w:r>
      <w:r w:rsidRPr="00EF5593">
        <w:rPr>
          <w:rFonts w:ascii="Arial" w:hAnsi="Arial" w:cs="Arial"/>
        </w:rPr>
        <w:t xml:space="preserve">arty </w:t>
      </w:r>
      <w:r>
        <w:rPr>
          <w:rFonts w:ascii="Arial" w:hAnsi="Arial" w:cs="Arial"/>
        </w:rPr>
        <w:t>a</w:t>
      </w:r>
      <w:r w:rsidRPr="00EF5593">
        <w:rPr>
          <w:rFonts w:ascii="Arial" w:hAnsi="Arial" w:cs="Arial"/>
        </w:rPr>
        <w:t>dministration</w:t>
      </w:r>
      <w:r w:rsidRPr="003F3D1C">
        <w:rPr>
          <w:rFonts w:ascii="Arial" w:hAnsi="Arial" w:cs="Arial"/>
        </w:rPr>
        <w:t xml:space="preserve"> of</w:t>
      </w:r>
      <w:r>
        <w:rPr>
          <w:rFonts w:ascii="Arial" w:hAnsi="Arial" w:cs="Arial"/>
        </w:rPr>
        <w:t xml:space="preserve"> the</w:t>
      </w:r>
      <w:r w:rsidRPr="003F3D1C">
        <w:rPr>
          <w:rFonts w:ascii="Arial" w:hAnsi="Arial" w:cs="Arial"/>
        </w:rPr>
        <w:t xml:space="preserve"> wellness and disease management programs offered as part of the State of Wisconsin </w:t>
      </w:r>
      <w:r>
        <w:rPr>
          <w:rFonts w:ascii="Arial" w:hAnsi="Arial" w:cs="Arial"/>
        </w:rPr>
        <w:t xml:space="preserve">health insurance program. This includes the </w:t>
      </w:r>
      <w:r w:rsidRPr="003F3D1C">
        <w:rPr>
          <w:rFonts w:ascii="Arial" w:hAnsi="Arial" w:cs="Arial"/>
        </w:rPr>
        <w:t>Group Health Insurance Program</w:t>
      </w:r>
      <w:r>
        <w:rPr>
          <w:rFonts w:ascii="Arial" w:hAnsi="Arial" w:cs="Arial"/>
        </w:rPr>
        <w:t xml:space="preserve"> (GHIP) for State employees, and the Wisconsin Public Employer (WPE) program for local government employees</w:t>
      </w:r>
      <w:r w:rsidRPr="003F3D1C">
        <w:rPr>
          <w:rFonts w:ascii="Arial" w:hAnsi="Arial" w:cs="Arial"/>
        </w:rPr>
        <w:t xml:space="preserve">. The Wisconsin Department of Employee Trust Funds (ETF) intends to use the results of this solicitation </w:t>
      </w:r>
      <w:r>
        <w:rPr>
          <w:rFonts w:ascii="Arial" w:hAnsi="Arial" w:cs="Arial"/>
        </w:rPr>
        <w:t xml:space="preserve">process </w:t>
      </w:r>
      <w:r w:rsidRPr="003F3D1C">
        <w:rPr>
          <w:rFonts w:ascii="Arial" w:hAnsi="Arial" w:cs="Arial"/>
        </w:rPr>
        <w:t xml:space="preserve">to award a </w:t>
      </w:r>
      <w:r>
        <w:rPr>
          <w:rFonts w:ascii="Arial" w:hAnsi="Arial" w:cs="Arial"/>
        </w:rPr>
        <w:t>C</w:t>
      </w:r>
      <w:r w:rsidRPr="003F3D1C">
        <w:rPr>
          <w:rFonts w:ascii="Arial" w:hAnsi="Arial" w:cs="Arial"/>
        </w:rPr>
        <w:t>ontract</w:t>
      </w:r>
      <w:r>
        <w:rPr>
          <w:rFonts w:ascii="Arial" w:hAnsi="Arial" w:cs="Arial"/>
        </w:rPr>
        <w:t xml:space="preserve">. </w:t>
      </w:r>
      <w:r w:rsidRPr="00EF5593">
        <w:rPr>
          <w:rFonts w:ascii="Arial" w:hAnsi="Arial" w:cs="Arial"/>
        </w:rPr>
        <w:t xml:space="preserve">The Contract will be administered and managed by ETF, with oversight by the </w:t>
      </w:r>
      <w:r>
        <w:rPr>
          <w:rFonts w:ascii="Arial" w:hAnsi="Arial" w:cs="Arial"/>
        </w:rPr>
        <w:t xml:space="preserve">State of Wisconsin </w:t>
      </w:r>
      <w:r w:rsidRPr="00EF5593">
        <w:rPr>
          <w:rFonts w:ascii="Arial" w:hAnsi="Arial" w:cs="Arial"/>
        </w:rPr>
        <w:t xml:space="preserve">Group Insurance Board (the </w:t>
      </w:r>
      <w:r>
        <w:rPr>
          <w:rFonts w:ascii="Arial" w:hAnsi="Arial" w:cs="Arial"/>
        </w:rPr>
        <w:t>“</w:t>
      </w:r>
      <w:r w:rsidRPr="00EF5593">
        <w:rPr>
          <w:rFonts w:ascii="Arial" w:hAnsi="Arial" w:cs="Arial"/>
        </w:rPr>
        <w:t>Board</w:t>
      </w:r>
      <w:r>
        <w:rPr>
          <w:rFonts w:ascii="Arial" w:hAnsi="Arial" w:cs="Arial"/>
        </w:rPr>
        <w:t>”</w:t>
      </w:r>
      <w:r w:rsidRPr="00EF5593">
        <w:rPr>
          <w:rFonts w:ascii="Arial" w:hAnsi="Arial" w:cs="Arial"/>
        </w:rPr>
        <w:t>). This RFP document and the awarded Proposer’s (Contractor’s) Proposal response shall be incorporated into the Contract.</w:t>
      </w:r>
    </w:p>
    <w:p w14:paraId="209F46B9" w14:textId="05DB2545" w:rsidR="00443382" w:rsidRDefault="00443382" w:rsidP="003F1037">
      <w:pPr>
        <w:pStyle w:val="Heading2"/>
        <w:ind w:hanging="1926"/>
      </w:pPr>
      <w:r w:rsidRPr="00C94564">
        <w:t>Current</w:t>
      </w:r>
      <w:r>
        <w:t xml:space="preserve"> State and Background</w:t>
      </w:r>
    </w:p>
    <w:p w14:paraId="7E10FF42" w14:textId="1FDF793D" w:rsidR="00443382" w:rsidRDefault="003C4B63" w:rsidP="00443382">
      <w:pPr>
        <w:ind w:right="280"/>
        <w:rPr>
          <w:rFonts w:ascii="Arial" w:hAnsi="Arial" w:cs="Arial"/>
        </w:rPr>
      </w:pPr>
      <w:r w:rsidRPr="00360A1E">
        <w:rPr>
          <w:rFonts w:ascii="Arial" w:hAnsi="Arial" w:cs="Arial"/>
        </w:rPr>
        <w:t xml:space="preserve">ETF is a State </w:t>
      </w:r>
      <w:r w:rsidR="00873CDD">
        <w:rPr>
          <w:rFonts w:ascii="Arial" w:hAnsi="Arial" w:cs="Arial"/>
        </w:rPr>
        <w:t xml:space="preserve">of Wisconsin </w:t>
      </w:r>
      <w:r w:rsidRPr="00360A1E">
        <w:rPr>
          <w:rFonts w:ascii="Arial" w:hAnsi="Arial" w:cs="Arial"/>
        </w:rPr>
        <w:t>agency that administers r</w:t>
      </w:r>
      <w:r>
        <w:rPr>
          <w:rFonts w:ascii="Arial" w:hAnsi="Arial" w:cs="Arial"/>
        </w:rPr>
        <w:t>etirement, health, life,</w:t>
      </w:r>
      <w:r w:rsidRPr="00360A1E">
        <w:rPr>
          <w:rFonts w:ascii="Arial" w:hAnsi="Arial" w:cs="Arial"/>
        </w:rPr>
        <w:t xml:space="preserve"> disability, and long-term care insurance programs for </w:t>
      </w:r>
      <w:r>
        <w:rPr>
          <w:rFonts w:ascii="Arial" w:hAnsi="Arial" w:cs="Arial"/>
        </w:rPr>
        <w:t xml:space="preserve">over </w:t>
      </w:r>
      <w:r w:rsidRPr="00443382">
        <w:rPr>
          <w:rFonts w:ascii="Arial" w:hAnsi="Arial" w:cs="Arial"/>
        </w:rPr>
        <w:t>570,000</w:t>
      </w:r>
      <w:r w:rsidRPr="00360A1E">
        <w:rPr>
          <w:rFonts w:ascii="Arial" w:hAnsi="Arial" w:cs="Arial"/>
        </w:rPr>
        <w:t xml:space="preserve"> </w:t>
      </w:r>
      <w:r w:rsidR="00873CDD">
        <w:rPr>
          <w:rFonts w:ascii="Arial" w:hAnsi="Arial" w:cs="Arial"/>
        </w:rPr>
        <w:t>State</w:t>
      </w:r>
      <w:r w:rsidRPr="00360A1E">
        <w:rPr>
          <w:rFonts w:ascii="Arial" w:hAnsi="Arial" w:cs="Arial"/>
        </w:rPr>
        <w:t xml:space="preserve"> and local government employees and annuitants</w:t>
      </w:r>
      <w:r w:rsidR="00443382" w:rsidRPr="00360A1E">
        <w:rPr>
          <w:rFonts w:ascii="Arial" w:hAnsi="Arial" w:cs="Arial"/>
        </w:rPr>
        <w:t xml:space="preserve">. </w:t>
      </w:r>
    </w:p>
    <w:p w14:paraId="51441BC2" w14:textId="4E2D3744" w:rsidR="00EC203B" w:rsidRPr="00911027" w:rsidRDefault="00EC203B" w:rsidP="00EC203B">
      <w:pPr>
        <w:pStyle w:val="Heading3"/>
      </w:pPr>
      <w:r w:rsidRPr="00911027">
        <w:t>Health Insurance Program</w:t>
      </w:r>
    </w:p>
    <w:p w14:paraId="1EBE9CF8" w14:textId="116A5893" w:rsidR="003C4B63" w:rsidRDefault="003C4B63" w:rsidP="003C4B63">
      <w:pPr>
        <w:rPr>
          <w:rFonts w:ascii="Arial" w:hAnsi="Arial" w:cs="Arial"/>
        </w:rPr>
      </w:pPr>
      <w:r w:rsidRPr="00911027">
        <w:rPr>
          <w:rFonts w:ascii="Arial" w:hAnsi="Arial" w:cs="Arial"/>
        </w:rPr>
        <w:t xml:space="preserve">The </w:t>
      </w:r>
      <w:r>
        <w:rPr>
          <w:rFonts w:ascii="Arial" w:hAnsi="Arial" w:cs="Arial"/>
        </w:rPr>
        <w:t>GHIP/WPE program</w:t>
      </w:r>
      <w:r w:rsidR="002F2A8A">
        <w:rPr>
          <w:rFonts w:ascii="Arial" w:hAnsi="Arial" w:cs="Arial"/>
        </w:rPr>
        <w:t>s</w:t>
      </w:r>
      <w:r>
        <w:rPr>
          <w:rFonts w:ascii="Arial" w:hAnsi="Arial" w:cs="Arial"/>
        </w:rPr>
        <w:t>,</w:t>
      </w:r>
      <w:r w:rsidRPr="00911027">
        <w:rPr>
          <w:rFonts w:ascii="Arial" w:hAnsi="Arial" w:cs="Arial"/>
        </w:rPr>
        <w:t xml:space="preserve"> </w:t>
      </w:r>
      <w:r w:rsidR="008723D3" w:rsidRPr="00911027">
        <w:rPr>
          <w:rFonts w:ascii="Arial" w:hAnsi="Arial" w:cs="Arial"/>
        </w:rPr>
        <w:t>primarily fully</w:t>
      </w:r>
      <w:r w:rsidR="008723D3">
        <w:rPr>
          <w:rFonts w:ascii="Arial" w:hAnsi="Arial" w:cs="Arial"/>
        </w:rPr>
        <w:t xml:space="preserve"> insured</w:t>
      </w:r>
      <w:r w:rsidR="008723D3" w:rsidRPr="00911027">
        <w:rPr>
          <w:rFonts w:ascii="Arial" w:hAnsi="Arial" w:cs="Arial"/>
        </w:rPr>
        <w:t xml:space="preserve"> </w:t>
      </w:r>
      <w:r w:rsidR="008723D3">
        <w:rPr>
          <w:rFonts w:ascii="Arial" w:hAnsi="Arial" w:cs="Arial"/>
        </w:rPr>
        <w:t xml:space="preserve">health </w:t>
      </w:r>
      <w:r w:rsidR="008723D3" w:rsidRPr="00911027">
        <w:rPr>
          <w:rFonts w:ascii="Arial" w:hAnsi="Arial" w:cs="Arial"/>
        </w:rPr>
        <w:t>plan</w:t>
      </w:r>
      <w:r w:rsidR="008723D3">
        <w:rPr>
          <w:rFonts w:ascii="Arial" w:hAnsi="Arial" w:cs="Arial"/>
        </w:rPr>
        <w:t>s</w:t>
      </w:r>
      <w:r w:rsidR="008723D3" w:rsidRPr="00911027">
        <w:rPr>
          <w:rFonts w:ascii="Arial" w:hAnsi="Arial" w:cs="Arial"/>
        </w:rPr>
        <w:t xml:space="preserve"> </w:t>
      </w:r>
      <w:r w:rsidRPr="00911027">
        <w:rPr>
          <w:rFonts w:ascii="Arial" w:hAnsi="Arial" w:cs="Arial"/>
        </w:rPr>
        <w:t xml:space="preserve">administered by ETF and 18 contracted health plans, </w:t>
      </w:r>
      <w:r w:rsidR="00583656">
        <w:rPr>
          <w:rFonts w:ascii="Arial" w:hAnsi="Arial" w:cs="Arial"/>
        </w:rPr>
        <w:t xml:space="preserve">are </w:t>
      </w:r>
      <w:r w:rsidRPr="00911027">
        <w:rPr>
          <w:rFonts w:ascii="Arial" w:hAnsi="Arial" w:cs="Arial"/>
        </w:rPr>
        <w:t xml:space="preserve">for </w:t>
      </w:r>
      <w:r>
        <w:rPr>
          <w:rFonts w:ascii="Arial" w:hAnsi="Arial" w:cs="Arial"/>
        </w:rPr>
        <w:t xml:space="preserve">the </w:t>
      </w:r>
      <w:r w:rsidRPr="00911027">
        <w:rPr>
          <w:rFonts w:ascii="Arial" w:hAnsi="Arial" w:cs="Arial"/>
        </w:rPr>
        <w:t xml:space="preserve">employees of </w:t>
      </w:r>
      <w:r w:rsidR="002A2522">
        <w:rPr>
          <w:rFonts w:ascii="Arial" w:hAnsi="Arial" w:cs="Arial"/>
        </w:rPr>
        <w:t>58</w:t>
      </w:r>
      <w:r w:rsidRPr="00911027">
        <w:rPr>
          <w:rFonts w:ascii="Arial" w:hAnsi="Arial" w:cs="Arial"/>
        </w:rPr>
        <w:t xml:space="preserve"> </w:t>
      </w:r>
      <w:r w:rsidR="00873CDD">
        <w:rPr>
          <w:rFonts w:ascii="Arial" w:hAnsi="Arial" w:cs="Arial"/>
        </w:rPr>
        <w:t>State</w:t>
      </w:r>
      <w:r w:rsidRPr="00911027">
        <w:rPr>
          <w:rFonts w:ascii="Arial" w:hAnsi="Arial" w:cs="Arial"/>
        </w:rPr>
        <w:t xml:space="preserve"> agencies, the </w:t>
      </w:r>
      <w:r w:rsidR="008723D3">
        <w:rPr>
          <w:rFonts w:ascii="Arial" w:hAnsi="Arial" w:cs="Arial"/>
        </w:rPr>
        <w:t xml:space="preserve">State of Wisconsin </w:t>
      </w:r>
      <w:r w:rsidRPr="00911027">
        <w:rPr>
          <w:rFonts w:ascii="Arial" w:hAnsi="Arial" w:cs="Arial"/>
        </w:rPr>
        <w:t xml:space="preserve">Legislature, </w:t>
      </w:r>
      <w:r>
        <w:rPr>
          <w:rFonts w:ascii="Arial" w:hAnsi="Arial" w:cs="Arial"/>
        </w:rPr>
        <w:t xml:space="preserve">the </w:t>
      </w:r>
      <w:r w:rsidRPr="00911027">
        <w:rPr>
          <w:rFonts w:ascii="Arial" w:hAnsi="Arial" w:cs="Arial"/>
        </w:rPr>
        <w:t>University of Wisconsin</w:t>
      </w:r>
      <w:r w:rsidR="00C15A94">
        <w:rPr>
          <w:rFonts w:ascii="Arial" w:hAnsi="Arial" w:cs="Arial"/>
        </w:rPr>
        <w:t xml:space="preserve"> (UW)</w:t>
      </w:r>
      <w:r>
        <w:rPr>
          <w:rFonts w:ascii="Arial" w:hAnsi="Arial" w:cs="Arial"/>
        </w:rPr>
        <w:t xml:space="preserve"> System</w:t>
      </w:r>
      <w:r w:rsidRPr="00911027">
        <w:rPr>
          <w:rFonts w:ascii="Arial" w:hAnsi="Arial" w:cs="Arial"/>
        </w:rPr>
        <w:t xml:space="preserve">, </w:t>
      </w:r>
      <w:r>
        <w:rPr>
          <w:rFonts w:ascii="Arial" w:hAnsi="Arial" w:cs="Arial"/>
        </w:rPr>
        <w:t xml:space="preserve">the </w:t>
      </w:r>
      <w:r w:rsidRPr="00911027">
        <w:rPr>
          <w:rFonts w:ascii="Arial" w:hAnsi="Arial" w:cs="Arial"/>
        </w:rPr>
        <w:t>University of Wiscon</w:t>
      </w:r>
      <w:r w:rsidR="002A2522">
        <w:rPr>
          <w:rFonts w:ascii="Arial" w:hAnsi="Arial" w:cs="Arial"/>
        </w:rPr>
        <w:t>sin Hospital and Clinics, 368 local government</w:t>
      </w:r>
      <w:r>
        <w:rPr>
          <w:rFonts w:ascii="Arial" w:hAnsi="Arial" w:cs="Arial"/>
        </w:rPr>
        <w:t xml:space="preserve"> </w:t>
      </w:r>
      <w:proofErr w:type="spellStart"/>
      <w:r>
        <w:rPr>
          <w:rFonts w:ascii="Arial" w:hAnsi="Arial" w:cs="Arial"/>
        </w:rPr>
        <w:t>employers</w:t>
      </w:r>
      <w:proofErr w:type="spellEnd"/>
      <w:r w:rsidRPr="00911027">
        <w:rPr>
          <w:rFonts w:ascii="Arial" w:hAnsi="Arial" w:cs="Arial"/>
        </w:rPr>
        <w:t xml:space="preserve">, </w:t>
      </w:r>
      <w:r>
        <w:rPr>
          <w:rFonts w:ascii="Arial" w:hAnsi="Arial" w:cs="Arial"/>
        </w:rPr>
        <w:t>retirees, and dependents</w:t>
      </w:r>
      <w:r w:rsidRPr="00911027">
        <w:rPr>
          <w:rFonts w:ascii="Arial" w:hAnsi="Arial" w:cs="Arial"/>
        </w:rPr>
        <w:t xml:space="preserve">. </w:t>
      </w:r>
      <w:r w:rsidR="00581F0E" w:rsidRPr="00911027">
        <w:rPr>
          <w:rFonts w:ascii="Arial" w:hAnsi="Arial" w:cs="Arial"/>
        </w:rPr>
        <w:t xml:space="preserve">The </w:t>
      </w:r>
      <w:r w:rsidR="00581F0E">
        <w:rPr>
          <w:rFonts w:ascii="Arial" w:hAnsi="Arial" w:cs="Arial"/>
        </w:rPr>
        <w:t>GHIP/WPE programs</w:t>
      </w:r>
      <w:r w:rsidR="00581F0E" w:rsidRPr="00360A1E" w:rsidDel="00581F0E">
        <w:rPr>
          <w:rFonts w:ascii="Arial" w:hAnsi="Arial" w:cs="Arial"/>
        </w:rPr>
        <w:t xml:space="preserve"> </w:t>
      </w:r>
      <w:r w:rsidR="008723D3">
        <w:rPr>
          <w:rFonts w:ascii="Arial" w:hAnsi="Arial" w:cs="Arial"/>
        </w:rPr>
        <w:t xml:space="preserve">make up one of the largest health plan groups </w:t>
      </w:r>
      <w:r w:rsidR="002A2522">
        <w:rPr>
          <w:rFonts w:ascii="Arial" w:hAnsi="Arial" w:cs="Arial"/>
        </w:rPr>
        <w:t xml:space="preserve">in Wisconsin, </w:t>
      </w:r>
      <w:r w:rsidRPr="00360A1E">
        <w:rPr>
          <w:rFonts w:ascii="Arial" w:hAnsi="Arial" w:cs="Arial"/>
        </w:rPr>
        <w:t>spending $1.4 billion in health insurance premiums annually.</w:t>
      </w:r>
    </w:p>
    <w:p w14:paraId="11989796" w14:textId="77777777" w:rsidR="003C4B63" w:rsidRPr="005738E2" w:rsidRDefault="003C4B63" w:rsidP="003C4B63">
      <w:pPr>
        <w:pStyle w:val="LRWLBodyText"/>
        <w:tabs>
          <w:tab w:val="left" w:pos="3870"/>
          <w:tab w:val="left" w:pos="9810"/>
        </w:tabs>
        <w:ind w:right="190"/>
        <w:rPr>
          <w:rFonts w:cs="Arial"/>
        </w:rPr>
      </w:pPr>
      <w:r w:rsidRPr="005738E2">
        <w:rPr>
          <w:rFonts w:cs="Arial"/>
        </w:rPr>
        <w:t>Currently, most health insurance benefits (98%) are administered through 17 competing, fully insured health plans that offer a prescribed</w:t>
      </w:r>
      <w:r>
        <w:rPr>
          <w:rFonts w:cs="Arial"/>
        </w:rPr>
        <w:t>, “uniform</w:t>
      </w:r>
      <w:r w:rsidRPr="005738E2">
        <w:rPr>
          <w:rFonts w:cs="Arial"/>
        </w:rPr>
        <w:t xml:space="preserve"> benefit</w:t>
      </w:r>
      <w:r>
        <w:rPr>
          <w:rFonts w:cs="Arial"/>
        </w:rPr>
        <w:t>”</w:t>
      </w:r>
      <w:r w:rsidRPr="005738E2">
        <w:rPr>
          <w:rFonts w:cs="Arial"/>
        </w:rPr>
        <w:t xml:space="preserve"> p</w:t>
      </w:r>
      <w:r>
        <w:rPr>
          <w:rFonts w:cs="Arial"/>
        </w:rPr>
        <w:t>ackage called the “</w:t>
      </w:r>
      <w:r w:rsidRPr="005738E2">
        <w:rPr>
          <w:rFonts w:cs="Arial"/>
        </w:rPr>
        <w:t>It’s</w:t>
      </w:r>
      <w:r>
        <w:rPr>
          <w:rFonts w:cs="Arial"/>
        </w:rPr>
        <w:t xml:space="preserve"> Your Choice (IYC) Health Plan”, as well as </w:t>
      </w:r>
      <w:r w:rsidRPr="005738E2">
        <w:rPr>
          <w:rFonts w:cs="Arial"/>
        </w:rPr>
        <w:t>a high deductible health plan (HDHP) option. The health plans follow the Board’s guidelines for eligibility and program requirements and participate in an annual</w:t>
      </w:r>
      <w:r>
        <w:rPr>
          <w:rFonts w:cs="Arial"/>
        </w:rPr>
        <w:t xml:space="preserve"> competitive premium rate</w:t>
      </w:r>
      <w:r w:rsidRPr="005738E2">
        <w:rPr>
          <w:rFonts w:cs="Arial"/>
        </w:rPr>
        <w:t xml:space="preserve"> bid process. Most health plans are health maintenance organizations (HMOs) and one is a preferred provider organization (PPO).</w:t>
      </w:r>
    </w:p>
    <w:p w14:paraId="25FBFF87" w14:textId="77777777" w:rsidR="003C4B63" w:rsidRPr="005738E2" w:rsidRDefault="003C4B63" w:rsidP="003C4B63">
      <w:pPr>
        <w:pStyle w:val="LRWLBodyText"/>
        <w:tabs>
          <w:tab w:val="left" w:pos="3870"/>
          <w:tab w:val="left" w:pos="9810"/>
        </w:tabs>
        <w:ind w:right="190"/>
        <w:rPr>
          <w:rFonts w:cs="Arial"/>
        </w:rPr>
      </w:pPr>
      <w:r w:rsidRPr="005738E2">
        <w:rPr>
          <w:rFonts w:cs="Arial"/>
        </w:rPr>
        <w:t>The State also administers a small self-insured offering through</w:t>
      </w:r>
      <w:r>
        <w:rPr>
          <w:rFonts w:cs="Arial"/>
        </w:rPr>
        <w:t xml:space="preserve"> both</w:t>
      </w:r>
      <w:r w:rsidRPr="005738E2">
        <w:rPr>
          <w:rFonts w:cs="Arial"/>
        </w:rPr>
        <w:t xml:space="preserve"> the “IYC </w:t>
      </w:r>
      <w:r w:rsidRPr="00581F0E">
        <w:rPr>
          <w:rFonts w:cs="Arial"/>
        </w:rPr>
        <w:t>Access</w:t>
      </w:r>
      <w:r w:rsidRPr="005738E2">
        <w:rPr>
          <w:rFonts w:cs="Arial"/>
        </w:rPr>
        <w:t xml:space="preserve"> Health Plan” and “State Maintenance Plan” that are administered t</w:t>
      </w:r>
      <w:r>
        <w:rPr>
          <w:rFonts w:cs="Arial"/>
        </w:rPr>
        <w:t xml:space="preserve">hrough a single administrator. </w:t>
      </w:r>
      <w:r w:rsidRPr="005738E2">
        <w:rPr>
          <w:rFonts w:cs="Arial"/>
        </w:rPr>
        <w:t>The IYC Access Health Plan provides freed</w:t>
      </w:r>
      <w:r>
        <w:rPr>
          <w:rFonts w:cs="Arial"/>
        </w:rPr>
        <w:t>om of choice for providers and</w:t>
      </w:r>
      <w:r w:rsidRPr="005738E2">
        <w:rPr>
          <w:rFonts w:cs="Arial"/>
        </w:rPr>
        <w:t xml:space="preserve"> also </w:t>
      </w:r>
      <w:r>
        <w:rPr>
          <w:rFonts w:cs="Arial"/>
        </w:rPr>
        <w:t>has an</w:t>
      </w:r>
      <w:r w:rsidRPr="005738E2">
        <w:rPr>
          <w:rFonts w:cs="Arial"/>
        </w:rPr>
        <w:t xml:space="preserve"> HDHP option. The State Maintenance Plan offers the IYC Health Plan benefit design, includ</w:t>
      </w:r>
      <w:r>
        <w:rPr>
          <w:rFonts w:cs="Arial"/>
        </w:rPr>
        <w:t>ing</w:t>
      </w:r>
      <w:r w:rsidRPr="005738E2">
        <w:rPr>
          <w:rFonts w:cs="Arial"/>
        </w:rPr>
        <w:t xml:space="preserve"> a HDHP option, and is available in regions in Wisconsin </w:t>
      </w:r>
      <w:r>
        <w:rPr>
          <w:rFonts w:cs="Arial"/>
        </w:rPr>
        <w:t>where</w:t>
      </w:r>
      <w:r w:rsidRPr="005738E2">
        <w:rPr>
          <w:rFonts w:cs="Arial"/>
        </w:rPr>
        <w:t xml:space="preserve"> there is not reasonable access to providers through a fully insured health plan.</w:t>
      </w:r>
    </w:p>
    <w:p w14:paraId="4F86B40F" w14:textId="77777777" w:rsidR="003C4B63" w:rsidRDefault="003C4B63" w:rsidP="003C4B63">
      <w:pPr>
        <w:pStyle w:val="LRWLBodyText"/>
        <w:tabs>
          <w:tab w:val="left" w:pos="3870"/>
          <w:tab w:val="left" w:pos="9810"/>
        </w:tabs>
        <w:ind w:right="190"/>
        <w:rPr>
          <w:rFonts w:cs="Arial"/>
        </w:rPr>
      </w:pPr>
      <w:r w:rsidRPr="005738E2">
        <w:rPr>
          <w:rFonts w:cs="Arial"/>
        </w:rPr>
        <w:t>The pharmacy benefit is self-insured and has been administered through a Pharmacy Benefit Manager (PBM) since 200</w:t>
      </w:r>
      <w:r>
        <w:rPr>
          <w:rFonts w:cs="Arial"/>
        </w:rPr>
        <w:t xml:space="preserve">4. </w:t>
      </w:r>
      <w:r w:rsidRPr="005738E2">
        <w:rPr>
          <w:rFonts w:cs="Arial"/>
        </w:rPr>
        <w:t xml:space="preserve">This includes providing Medicare Part D benefits through an Employer Group Waiver Plan (EGWP) </w:t>
      </w:r>
      <w:r>
        <w:rPr>
          <w:rFonts w:cs="Arial"/>
        </w:rPr>
        <w:t>since 2012</w:t>
      </w:r>
      <w:r w:rsidRPr="005738E2">
        <w:rPr>
          <w:rFonts w:cs="Arial"/>
        </w:rPr>
        <w:t>.</w:t>
      </w:r>
    </w:p>
    <w:p w14:paraId="7DB6915E" w14:textId="233874B0" w:rsidR="003C4B63" w:rsidRDefault="003C4B63" w:rsidP="003C4B63">
      <w:pPr>
        <w:rPr>
          <w:rFonts w:ascii="Arial" w:hAnsi="Arial" w:cs="Arial"/>
        </w:rPr>
      </w:pPr>
      <w:r>
        <w:rPr>
          <w:rFonts w:ascii="Arial" w:hAnsi="Arial" w:cs="Arial"/>
        </w:rPr>
        <w:t xml:space="preserve">The dental benefit program is also self-insured as of 2016. </w:t>
      </w:r>
      <w:r w:rsidRPr="002072C2">
        <w:rPr>
          <w:rFonts w:ascii="Arial" w:hAnsi="Arial" w:cs="Arial"/>
        </w:rPr>
        <w:t>Enrollees</w:t>
      </w:r>
      <w:r>
        <w:rPr>
          <w:rFonts w:ascii="Arial" w:hAnsi="Arial" w:cs="Arial"/>
        </w:rPr>
        <w:t xml:space="preserve"> of the </w:t>
      </w:r>
      <w:r w:rsidR="00D75670">
        <w:rPr>
          <w:rFonts w:ascii="Arial" w:hAnsi="Arial" w:cs="Arial"/>
        </w:rPr>
        <w:t>GHIP/WPE programs</w:t>
      </w:r>
      <w:r>
        <w:rPr>
          <w:rFonts w:ascii="Arial" w:hAnsi="Arial" w:cs="Arial"/>
        </w:rPr>
        <w:t xml:space="preserve"> may opt out of dental coverage during the annual open enrollment.</w:t>
      </w:r>
    </w:p>
    <w:p w14:paraId="5FF3AEE5" w14:textId="77777777" w:rsidR="003C4B63" w:rsidRPr="005738E2" w:rsidRDefault="003C4B63" w:rsidP="003C4B63">
      <w:pPr>
        <w:pStyle w:val="LRWLBodyText"/>
        <w:tabs>
          <w:tab w:val="left" w:pos="3870"/>
          <w:tab w:val="left" w:pos="9810"/>
        </w:tabs>
        <w:ind w:right="190"/>
        <w:rPr>
          <w:rFonts w:cs="Arial"/>
        </w:rPr>
      </w:pPr>
    </w:p>
    <w:p w14:paraId="4A140E69" w14:textId="40B52E8E" w:rsidR="00761200" w:rsidRPr="00761200" w:rsidRDefault="003C4B63" w:rsidP="00761200">
      <w:pPr>
        <w:pStyle w:val="Caption"/>
        <w:jc w:val="left"/>
        <w:rPr>
          <w:rFonts w:ascii="Arial" w:hAnsi="Arial" w:cs="Arial"/>
          <w:b w:val="0"/>
          <w:bCs w:val="0"/>
          <w:i w:val="0"/>
          <w:sz w:val="22"/>
          <w:szCs w:val="22"/>
        </w:rPr>
      </w:pPr>
      <w:r w:rsidRPr="00761200">
        <w:rPr>
          <w:rFonts w:ascii="Arial" w:hAnsi="Arial" w:cs="Arial"/>
          <w:b w:val="0"/>
          <w:bCs w:val="0"/>
          <w:i w:val="0"/>
          <w:sz w:val="22"/>
          <w:szCs w:val="22"/>
        </w:rPr>
        <w:t>2016 Enrollment</w:t>
      </w:r>
      <w:r w:rsidR="00494FA0" w:rsidRPr="00761200">
        <w:rPr>
          <w:rFonts w:ascii="Arial" w:hAnsi="Arial" w:cs="Arial"/>
          <w:b w:val="0"/>
          <w:bCs w:val="0"/>
          <w:i w:val="0"/>
          <w:sz w:val="22"/>
          <w:szCs w:val="22"/>
        </w:rPr>
        <w:t xml:space="preserve"> Data</w:t>
      </w:r>
      <w:r w:rsidRPr="00761200">
        <w:rPr>
          <w:rFonts w:ascii="Arial" w:hAnsi="Arial" w:cs="Arial"/>
          <w:b w:val="0"/>
          <w:bCs w:val="0"/>
          <w:i w:val="0"/>
          <w:sz w:val="22"/>
          <w:szCs w:val="22"/>
        </w:rPr>
        <w:t xml:space="preserve">: Table 1 lists the </w:t>
      </w:r>
      <w:r w:rsidR="00293D52">
        <w:rPr>
          <w:rFonts w:ascii="Arial" w:hAnsi="Arial" w:cs="Arial"/>
          <w:b w:val="0"/>
          <w:bCs w:val="0"/>
          <w:i w:val="0"/>
          <w:sz w:val="22"/>
          <w:szCs w:val="22"/>
        </w:rPr>
        <w:t>number of</w:t>
      </w:r>
      <w:r w:rsidR="00293D52" w:rsidRPr="002072C2">
        <w:rPr>
          <w:rFonts w:ascii="Arial" w:hAnsi="Arial" w:cs="Arial"/>
          <w:b w:val="0"/>
          <w:bCs w:val="0"/>
          <w:i w:val="0"/>
          <w:sz w:val="22"/>
          <w:szCs w:val="22"/>
        </w:rPr>
        <w:t xml:space="preserve"> </w:t>
      </w:r>
      <w:r w:rsidR="00CE7172">
        <w:rPr>
          <w:rFonts w:ascii="Arial" w:hAnsi="Arial" w:cs="Arial"/>
          <w:b w:val="0"/>
          <w:bCs w:val="0"/>
          <w:i w:val="0"/>
          <w:sz w:val="22"/>
          <w:szCs w:val="22"/>
        </w:rPr>
        <w:t>individuals</w:t>
      </w:r>
      <w:r w:rsidR="00CE7172" w:rsidRPr="00761200">
        <w:rPr>
          <w:rFonts w:ascii="Arial" w:hAnsi="Arial" w:cs="Arial"/>
          <w:b w:val="0"/>
          <w:bCs w:val="0"/>
          <w:i w:val="0"/>
          <w:sz w:val="22"/>
          <w:szCs w:val="22"/>
        </w:rPr>
        <w:t xml:space="preserve"> </w:t>
      </w:r>
      <w:r w:rsidRPr="00761200">
        <w:rPr>
          <w:rFonts w:ascii="Arial" w:hAnsi="Arial" w:cs="Arial"/>
          <w:b w:val="0"/>
          <w:bCs w:val="0"/>
          <w:i w:val="0"/>
          <w:sz w:val="22"/>
          <w:szCs w:val="22"/>
        </w:rPr>
        <w:t xml:space="preserve">enrolled in the GHIP/WPE programs </w:t>
      </w:r>
      <w:r w:rsidR="00494FA0" w:rsidRPr="00761200">
        <w:rPr>
          <w:rFonts w:ascii="Arial" w:hAnsi="Arial" w:cs="Arial"/>
          <w:b w:val="0"/>
          <w:bCs w:val="0"/>
          <w:i w:val="0"/>
          <w:sz w:val="22"/>
          <w:szCs w:val="22"/>
        </w:rPr>
        <w:t>for 2016.</w:t>
      </w:r>
      <w:r w:rsidR="009F4E74">
        <w:rPr>
          <w:rFonts w:ascii="Arial" w:hAnsi="Arial" w:cs="Arial"/>
          <w:b w:val="0"/>
          <w:bCs w:val="0"/>
          <w:i w:val="0"/>
          <w:sz w:val="22"/>
          <w:szCs w:val="22"/>
        </w:rPr>
        <w:t xml:space="preserve"> More detailed information is located in Appendix 1</w:t>
      </w:r>
      <w:r w:rsidR="00583656">
        <w:rPr>
          <w:rFonts w:ascii="Arial" w:hAnsi="Arial" w:cs="Arial"/>
          <w:b w:val="0"/>
          <w:bCs w:val="0"/>
          <w:i w:val="0"/>
          <w:sz w:val="22"/>
          <w:szCs w:val="22"/>
        </w:rPr>
        <w:t xml:space="preserve"> State of Wisconsin Enrollment Data</w:t>
      </w:r>
      <w:r w:rsidR="002072C2">
        <w:rPr>
          <w:rFonts w:ascii="Arial" w:hAnsi="Arial" w:cs="Arial"/>
          <w:b w:val="0"/>
          <w:bCs w:val="0"/>
          <w:i w:val="0"/>
          <w:sz w:val="22"/>
          <w:szCs w:val="22"/>
        </w:rPr>
        <w:t>.</w:t>
      </w:r>
    </w:p>
    <w:p w14:paraId="4D060F22" w14:textId="53C6A27C" w:rsidR="00295736" w:rsidRPr="00295736" w:rsidRDefault="00EC203B" w:rsidP="005A35A1">
      <w:pPr>
        <w:pStyle w:val="Caption"/>
      </w:pPr>
      <w:r>
        <w:rPr>
          <w:rFonts w:ascii="Arial" w:hAnsi="Arial" w:cs="Arial"/>
          <w:sz w:val="22"/>
          <w:szCs w:val="22"/>
        </w:rPr>
        <w:t xml:space="preserve">Table </w:t>
      </w:r>
      <w:r w:rsidR="00B079F5">
        <w:rPr>
          <w:rFonts w:ascii="Arial" w:hAnsi="Arial" w:cs="Arial"/>
          <w:sz w:val="22"/>
          <w:szCs w:val="22"/>
        </w:rPr>
        <w:t>1</w:t>
      </w:r>
      <w:r>
        <w:rPr>
          <w:rFonts w:ascii="Arial" w:hAnsi="Arial" w:cs="Arial"/>
          <w:sz w:val="22"/>
          <w:szCs w:val="22"/>
        </w:rPr>
        <w:t xml:space="preserve"> </w:t>
      </w:r>
      <w:r w:rsidR="00494FA0">
        <w:rPr>
          <w:rFonts w:ascii="Arial" w:hAnsi="Arial" w:cs="Arial"/>
          <w:sz w:val="22"/>
          <w:szCs w:val="22"/>
        </w:rPr>
        <w:t xml:space="preserve">2016 </w:t>
      </w:r>
      <w:r>
        <w:rPr>
          <w:rFonts w:ascii="Arial" w:hAnsi="Arial" w:cs="Arial"/>
          <w:sz w:val="22"/>
          <w:szCs w:val="22"/>
        </w:rPr>
        <w:t>Enrollment Data</w:t>
      </w:r>
    </w:p>
    <w:tbl>
      <w:tblPr>
        <w:tblW w:w="8377" w:type="dxa"/>
        <w:tblLook w:val="04A0" w:firstRow="1" w:lastRow="0" w:firstColumn="1" w:lastColumn="0" w:noHBand="0" w:noVBand="1"/>
      </w:tblPr>
      <w:tblGrid>
        <w:gridCol w:w="2308"/>
        <w:gridCol w:w="1168"/>
        <w:gridCol w:w="1014"/>
        <w:gridCol w:w="1168"/>
        <w:gridCol w:w="1014"/>
        <w:gridCol w:w="1168"/>
        <w:gridCol w:w="1014"/>
      </w:tblGrid>
      <w:tr w:rsidR="002072C2" w:rsidRPr="00295736" w14:paraId="408B8F77" w14:textId="77777777" w:rsidTr="005A35A1">
        <w:trPr>
          <w:trHeight w:val="315"/>
        </w:trPr>
        <w:tc>
          <w:tcPr>
            <w:tcW w:w="2308" w:type="dxa"/>
            <w:tcBorders>
              <w:top w:val="nil"/>
              <w:bottom w:val="single" w:sz="8" w:space="0" w:color="auto"/>
              <w:right w:val="single" w:sz="8" w:space="0" w:color="auto"/>
            </w:tcBorders>
            <w:shd w:val="clear" w:color="auto" w:fill="auto"/>
            <w:noWrap/>
            <w:vAlign w:val="center"/>
            <w:hideMark/>
          </w:tcPr>
          <w:p w14:paraId="2CEA1D2E" w14:textId="77777777" w:rsidR="00295736" w:rsidRPr="00295736" w:rsidRDefault="00295736" w:rsidP="00295736">
            <w:pPr>
              <w:spacing w:before="0" w:after="0"/>
              <w:rPr>
                <w:rFonts w:ascii="Calibri" w:hAnsi="Calibri"/>
                <w:b/>
                <w:bCs/>
                <w:sz w:val="20"/>
                <w:szCs w:val="20"/>
              </w:rPr>
            </w:pPr>
            <w:r w:rsidRPr="00295736">
              <w:rPr>
                <w:rFonts w:ascii="Calibri" w:hAnsi="Calibri"/>
                <w:b/>
                <w:bCs/>
                <w:sz w:val="20"/>
                <w:szCs w:val="20"/>
              </w:rPr>
              <w:t> </w:t>
            </w:r>
          </w:p>
        </w:tc>
        <w:tc>
          <w:tcPr>
            <w:tcW w:w="2023" w:type="dxa"/>
            <w:gridSpan w:val="2"/>
            <w:tcBorders>
              <w:top w:val="single" w:sz="8" w:space="0" w:color="auto"/>
              <w:left w:val="nil"/>
              <w:bottom w:val="single" w:sz="8" w:space="0" w:color="auto"/>
              <w:right w:val="single" w:sz="8" w:space="0" w:color="000000"/>
            </w:tcBorders>
            <w:shd w:val="clear" w:color="000000" w:fill="DA9694"/>
            <w:noWrap/>
            <w:vAlign w:val="center"/>
            <w:hideMark/>
          </w:tcPr>
          <w:p w14:paraId="2C6E3964" w14:textId="77777777" w:rsidR="00295736" w:rsidRPr="00295736" w:rsidRDefault="00295736" w:rsidP="00295736">
            <w:pPr>
              <w:spacing w:before="0" w:after="0"/>
              <w:jc w:val="center"/>
              <w:rPr>
                <w:rFonts w:ascii="Calibri" w:hAnsi="Calibri"/>
                <w:b/>
                <w:bCs/>
                <w:sz w:val="20"/>
                <w:szCs w:val="20"/>
              </w:rPr>
            </w:pPr>
            <w:r w:rsidRPr="00295736">
              <w:rPr>
                <w:rFonts w:ascii="Calibri" w:hAnsi="Calibri"/>
                <w:b/>
                <w:bCs/>
                <w:sz w:val="20"/>
                <w:szCs w:val="20"/>
              </w:rPr>
              <w:t>STATE</w:t>
            </w:r>
          </w:p>
        </w:tc>
        <w:tc>
          <w:tcPr>
            <w:tcW w:w="2023" w:type="dxa"/>
            <w:gridSpan w:val="2"/>
            <w:tcBorders>
              <w:top w:val="single" w:sz="8" w:space="0" w:color="auto"/>
              <w:left w:val="nil"/>
              <w:bottom w:val="single" w:sz="8" w:space="0" w:color="auto"/>
              <w:right w:val="single" w:sz="8" w:space="0" w:color="000000"/>
            </w:tcBorders>
            <w:shd w:val="clear" w:color="000000" w:fill="C4D79B"/>
            <w:noWrap/>
            <w:vAlign w:val="center"/>
            <w:hideMark/>
          </w:tcPr>
          <w:p w14:paraId="1B9C8D58" w14:textId="77777777" w:rsidR="00295736" w:rsidRPr="00295736" w:rsidRDefault="00295736" w:rsidP="00295736">
            <w:pPr>
              <w:spacing w:before="0" w:after="0"/>
              <w:jc w:val="center"/>
              <w:rPr>
                <w:rFonts w:ascii="Calibri" w:hAnsi="Calibri"/>
                <w:b/>
                <w:bCs/>
                <w:sz w:val="20"/>
                <w:szCs w:val="20"/>
              </w:rPr>
            </w:pPr>
            <w:r w:rsidRPr="00295736">
              <w:rPr>
                <w:rFonts w:ascii="Calibri" w:hAnsi="Calibri"/>
                <w:b/>
                <w:bCs/>
                <w:sz w:val="20"/>
                <w:szCs w:val="20"/>
              </w:rPr>
              <w:t>LOCAL</w:t>
            </w:r>
          </w:p>
        </w:tc>
        <w:tc>
          <w:tcPr>
            <w:tcW w:w="2023" w:type="dxa"/>
            <w:gridSpan w:val="2"/>
            <w:tcBorders>
              <w:top w:val="single" w:sz="8" w:space="0" w:color="auto"/>
              <w:left w:val="nil"/>
              <w:bottom w:val="single" w:sz="8" w:space="0" w:color="auto"/>
              <w:right w:val="single" w:sz="8" w:space="0" w:color="000000"/>
            </w:tcBorders>
            <w:shd w:val="clear" w:color="000000" w:fill="4F81BD"/>
            <w:noWrap/>
            <w:vAlign w:val="center"/>
            <w:hideMark/>
          </w:tcPr>
          <w:p w14:paraId="5FE71E8A" w14:textId="77777777" w:rsidR="00295736" w:rsidRPr="00295736" w:rsidRDefault="00295736" w:rsidP="00295736">
            <w:pPr>
              <w:spacing w:before="0" w:after="0"/>
              <w:jc w:val="center"/>
              <w:rPr>
                <w:rFonts w:ascii="Calibri" w:hAnsi="Calibri"/>
                <w:b/>
                <w:bCs/>
                <w:color w:val="FFFFFF"/>
                <w:sz w:val="20"/>
                <w:szCs w:val="20"/>
              </w:rPr>
            </w:pPr>
            <w:r w:rsidRPr="00295736">
              <w:rPr>
                <w:rFonts w:ascii="Calibri" w:hAnsi="Calibri"/>
                <w:b/>
                <w:bCs/>
                <w:color w:val="FFFFFF"/>
                <w:sz w:val="20"/>
                <w:szCs w:val="20"/>
              </w:rPr>
              <w:t>Grand Total</w:t>
            </w:r>
          </w:p>
        </w:tc>
      </w:tr>
      <w:tr w:rsidR="002072C2" w:rsidRPr="00295736" w14:paraId="174B45A7" w14:textId="77777777" w:rsidTr="005A35A1">
        <w:trPr>
          <w:trHeight w:val="315"/>
        </w:trPr>
        <w:tc>
          <w:tcPr>
            <w:tcW w:w="2308" w:type="dxa"/>
            <w:tcBorders>
              <w:top w:val="single" w:sz="8" w:space="0" w:color="auto"/>
              <w:left w:val="single" w:sz="8" w:space="0" w:color="auto"/>
              <w:bottom w:val="nil"/>
              <w:right w:val="single" w:sz="8" w:space="0" w:color="auto"/>
            </w:tcBorders>
            <w:shd w:val="clear" w:color="000000" w:fill="D9D9D9"/>
            <w:noWrap/>
            <w:vAlign w:val="center"/>
            <w:hideMark/>
          </w:tcPr>
          <w:p w14:paraId="450BA152" w14:textId="77777777" w:rsidR="00295736" w:rsidRPr="00295736" w:rsidRDefault="00295736" w:rsidP="00295736">
            <w:pPr>
              <w:spacing w:before="0" w:after="0"/>
              <w:jc w:val="center"/>
              <w:rPr>
                <w:rFonts w:ascii="Calibri" w:hAnsi="Calibri"/>
                <w:b/>
                <w:bCs/>
                <w:color w:val="FFFFFF"/>
                <w:sz w:val="20"/>
                <w:szCs w:val="20"/>
              </w:rPr>
            </w:pPr>
            <w:r w:rsidRPr="00295736">
              <w:rPr>
                <w:rFonts w:ascii="Calibri" w:hAnsi="Calibri"/>
                <w:b/>
                <w:bCs/>
                <w:color w:val="FFFFFF"/>
                <w:sz w:val="20"/>
                <w:szCs w:val="20"/>
              </w:rPr>
              <w:t> </w:t>
            </w:r>
          </w:p>
        </w:tc>
        <w:tc>
          <w:tcPr>
            <w:tcW w:w="1009" w:type="dxa"/>
            <w:tcBorders>
              <w:top w:val="nil"/>
              <w:left w:val="nil"/>
              <w:bottom w:val="single" w:sz="8" w:space="0" w:color="auto"/>
              <w:right w:val="nil"/>
            </w:tcBorders>
            <w:shd w:val="clear" w:color="000000" w:fill="D9D9D9"/>
            <w:noWrap/>
            <w:vAlign w:val="center"/>
            <w:hideMark/>
          </w:tcPr>
          <w:p w14:paraId="6A389F80" w14:textId="3C003E35" w:rsidR="00295736" w:rsidRPr="00295736" w:rsidRDefault="002072C2" w:rsidP="00295736">
            <w:pPr>
              <w:spacing w:before="0" w:after="0"/>
              <w:jc w:val="center"/>
              <w:rPr>
                <w:rFonts w:ascii="Calibri" w:hAnsi="Calibri"/>
                <w:b/>
                <w:bCs/>
                <w:sz w:val="20"/>
                <w:szCs w:val="20"/>
              </w:rPr>
            </w:pPr>
            <w:r>
              <w:rPr>
                <w:rFonts w:ascii="Calibri" w:hAnsi="Calibri"/>
                <w:b/>
                <w:bCs/>
                <w:sz w:val="20"/>
                <w:szCs w:val="20"/>
              </w:rPr>
              <w:t>Subscribers</w:t>
            </w:r>
          </w:p>
        </w:tc>
        <w:tc>
          <w:tcPr>
            <w:tcW w:w="1014" w:type="dxa"/>
            <w:tcBorders>
              <w:top w:val="nil"/>
              <w:left w:val="single" w:sz="4" w:space="0" w:color="auto"/>
              <w:bottom w:val="nil"/>
              <w:right w:val="single" w:sz="8" w:space="0" w:color="auto"/>
            </w:tcBorders>
            <w:shd w:val="clear" w:color="000000" w:fill="D9D9D9"/>
            <w:noWrap/>
            <w:vAlign w:val="center"/>
            <w:hideMark/>
          </w:tcPr>
          <w:p w14:paraId="194BF41A" w14:textId="77777777" w:rsidR="00295736" w:rsidRPr="00295736" w:rsidRDefault="00295736" w:rsidP="00295736">
            <w:pPr>
              <w:spacing w:before="0" w:after="0"/>
              <w:jc w:val="center"/>
              <w:rPr>
                <w:rFonts w:ascii="Calibri" w:hAnsi="Calibri"/>
                <w:b/>
                <w:bCs/>
                <w:sz w:val="20"/>
                <w:szCs w:val="20"/>
              </w:rPr>
            </w:pPr>
            <w:r w:rsidRPr="00295736">
              <w:rPr>
                <w:rFonts w:ascii="Calibri" w:hAnsi="Calibri"/>
                <w:b/>
                <w:bCs/>
                <w:sz w:val="20"/>
                <w:szCs w:val="20"/>
              </w:rPr>
              <w:t>Members</w:t>
            </w:r>
          </w:p>
        </w:tc>
        <w:tc>
          <w:tcPr>
            <w:tcW w:w="1009" w:type="dxa"/>
            <w:tcBorders>
              <w:top w:val="nil"/>
              <w:left w:val="nil"/>
              <w:bottom w:val="single" w:sz="8" w:space="0" w:color="auto"/>
              <w:right w:val="single" w:sz="4" w:space="0" w:color="auto"/>
            </w:tcBorders>
            <w:shd w:val="clear" w:color="000000" w:fill="D9D9D9"/>
            <w:noWrap/>
            <w:vAlign w:val="center"/>
            <w:hideMark/>
          </w:tcPr>
          <w:p w14:paraId="11E053ED" w14:textId="705F46FA" w:rsidR="00295736" w:rsidRPr="00295736" w:rsidRDefault="002072C2" w:rsidP="00295736">
            <w:pPr>
              <w:spacing w:before="0" w:after="0"/>
              <w:jc w:val="center"/>
              <w:rPr>
                <w:rFonts w:ascii="Calibri" w:hAnsi="Calibri"/>
                <w:b/>
                <w:bCs/>
                <w:sz w:val="20"/>
                <w:szCs w:val="20"/>
              </w:rPr>
            </w:pPr>
            <w:r>
              <w:rPr>
                <w:rFonts w:ascii="Calibri" w:hAnsi="Calibri"/>
                <w:b/>
                <w:bCs/>
                <w:sz w:val="20"/>
                <w:szCs w:val="20"/>
              </w:rPr>
              <w:t>Subscribers</w:t>
            </w:r>
          </w:p>
        </w:tc>
        <w:tc>
          <w:tcPr>
            <w:tcW w:w="1014" w:type="dxa"/>
            <w:tcBorders>
              <w:top w:val="nil"/>
              <w:left w:val="nil"/>
              <w:bottom w:val="nil"/>
              <w:right w:val="single" w:sz="8" w:space="0" w:color="auto"/>
            </w:tcBorders>
            <w:shd w:val="clear" w:color="000000" w:fill="D9D9D9"/>
            <w:noWrap/>
            <w:vAlign w:val="center"/>
            <w:hideMark/>
          </w:tcPr>
          <w:p w14:paraId="660073B4" w14:textId="77777777" w:rsidR="00295736" w:rsidRPr="00295736" w:rsidRDefault="00295736" w:rsidP="00295736">
            <w:pPr>
              <w:spacing w:before="0" w:after="0"/>
              <w:jc w:val="center"/>
              <w:rPr>
                <w:rFonts w:ascii="Calibri" w:hAnsi="Calibri"/>
                <w:b/>
                <w:bCs/>
                <w:sz w:val="20"/>
                <w:szCs w:val="20"/>
              </w:rPr>
            </w:pPr>
            <w:r w:rsidRPr="00295736">
              <w:rPr>
                <w:rFonts w:ascii="Calibri" w:hAnsi="Calibri"/>
                <w:b/>
                <w:bCs/>
                <w:sz w:val="20"/>
                <w:szCs w:val="20"/>
              </w:rPr>
              <w:t>Members</w:t>
            </w:r>
          </w:p>
        </w:tc>
        <w:tc>
          <w:tcPr>
            <w:tcW w:w="1009" w:type="dxa"/>
            <w:tcBorders>
              <w:top w:val="nil"/>
              <w:left w:val="nil"/>
              <w:bottom w:val="single" w:sz="8" w:space="0" w:color="auto"/>
              <w:right w:val="single" w:sz="4" w:space="0" w:color="auto"/>
            </w:tcBorders>
            <w:shd w:val="clear" w:color="000000" w:fill="D9D9D9"/>
            <w:noWrap/>
            <w:vAlign w:val="center"/>
            <w:hideMark/>
          </w:tcPr>
          <w:p w14:paraId="3A639A9B" w14:textId="02D6260A" w:rsidR="00295736" w:rsidRPr="00295736" w:rsidRDefault="002072C2" w:rsidP="00295736">
            <w:pPr>
              <w:spacing w:before="0" w:after="0"/>
              <w:jc w:val="center"/>
              <w:rPr>
                <w:rFonts w:ascii="Calibri" w:hAnsi="Calibri"/>
                <w:b/>
                <w:bCs/>
                <w:sz w:val="20"/>
                <w:szCs w:val="20"/>
              </w:rPr>
            </w:pPr>
            <w:r>
              <w:rPr>
                <w:rFonts w:ascii="Calibri" w:hAnsi="Calibri"/>
                <w:b/>
                <w:bCs/>
                <w:sz w:val="20"/>
                <w:szCs w:val="20"/>
              </w:rPr>
              <w:t>Subscribers</w:t>
            </w:r>
          </w:p>
        </w:tc>
        <w:tc>
          <w:tcPr>
            <w:tcW w:w="1014" w:type="dxa"/>
            <w:tcBorders>
              <w:top w:val="nil"/>
              <w:left w:val="nil"/>
              <w:bottom w:val="single" w:sz="8" w:space="0" w:color="auto"/>
              <w:right w:val="single" w:sz="8" w:space="0" w:color="auto"/>
            </w:tcBorders>
            <w:shd w:val="clear" w:color="000000" w:fill="D9D9D9"/>
            <w:noWrap/>
            <w:vAlign w:val="center"/>
            <w:hideMark/>
          </w:tcPr>
          <w:p w14:paraId="1A2EFA76" w14:textId="77777777" w:rsidR="00295736" w:rsidRPr="00295736" w:rsidRDefault="00295736" w:rsidP="00295736">
            <w:pPr>
              <w:spacing w:before="0" w:after="0"/>
              <w:jc w:val="center"/>
              <w:rPr>
                <w:rFonts w:ascii="Calibri" w:hAnsi="Calibri"/>
                <w:b/>
                <w:bCs/>
                <w:sz w:val="20"/>
                <w:szCs w:val="20"/>
              </w:rPr>
            </w:pPr>
            <w:r w:rsidRPr="00295736">
              <w:rPr>
                <w:rFonts w:ascii="Calibri" w:hAnsi="Calibri"/>
                <w:b/>
                <w:bCs/>
                <w:sz w:val="20"/>
                <w:szCs w:val="20"/>
              </w:rPr>
              <w:t>Members</w:t>
            </w:r>
          </w:p>
        </w:tc>
      </w:tr>
      <w:tr w:rsidR="002072C2" w:rsidRPr="00295736" w14:paraId="658D226F" w14:textId="77777777" w:rsidTr="005A35A1">
        <w:trPr>
          <w:trHeight w:val="300"/>
        </w:trPr>
        <w:tc>
          <w:tcPr>
            <w:tcW w:w="2308" w:type="dxa"/>
            <w:tcBorders>
              <w:top w:val="single" w:sz="8" w:space="0" w:color="auto"/>
              <w:left w:val="single" w:sz="8" w:space="0" w:color="auto"/>
              <w:bottom w:val="single" w:sz="4" w:space="0" w:color="auto"/>
              <w:right w:val="single" w:sz="8" w:space="0" w:color="auto"/>
            </w:tcBorders>
            <w:shd w:val="clear" w:color="000000" w:fill="95B3D7"/>
            <w:noWrap/>
            <w:vAlign w:val="bottom"/>
            <w:hideMark/>
          </w:tcPr>
          <w:p w14:paraId="3DBBE7C4" w14:textId="2182C2D1" w:rsidR="00295736" w:rsidRPr="00295736" w:rsidRDefault="00295736" w:rsidP="00295736">
            <w:pPr>
              <w:spacing w:before="0" w:after="0"/>
              <w:rPr>
                <w:rFonts w:ascii="Calibri" w:hAnsi="Calibri"/>
                <w:b/>
                <w:bCs/>
                <w:color w:val="000000"/>
                <w:sz w:val="20"/>
                <w:szCs w:val="20"/>
              </w:rPr>
            </w:pPr>
            <w:r w:rsidRPr="00295736">
              <w:rPr>
                <w:rFonts w:ascii="Calibri" w:hAnsi="Calibri"/>
                <w:b/>
                <w:bCs/>
                <w:color w:val="000000"/>
                <w:sz w:val="20"/>
                <w:szCs w:val="20"/>
              </w:rPr>
              <w:t>ACTIVE</w:t>
            </w:r>
            <w:r w:rsidR="002072C2">
              <w:rPr>
                <w:rFonts w:ascii="Calibri" w:hAnsi="Calibri"/>
                <w:b/>
                <w:bCs/>
                <w:color w:val="000000"/>
                <w:sz w:val="20"/>
                <w:szCs w:val="20"/>
              </w:rPr>
              <w:t xml:space="preserve"> EMPLOYEE</w:t>
            </w:r>
          </w:p>
        </w:tc>
        <w:tc>
          <w:tcPr>
            <w:tcW w:w="1009" w:type="dxa"/>
            <w:tcBorders>
              <w:top w:val="nil"/>
              <w:left w:val="nil"/>
              <w:bottom w:val="single" w:sz="4" w:space="0" w:color="auto"/>
              <w:right w:val="nil"/>
            </w:tcBorders>
            <w:shd w:val="clear" w:color="000000" w:fill="DA9694"/>
            <w:noWrap/>
            <w:vAlign w:val="center"/>
            <w:hideMark/>
          </w:tcPr>
          <w:p w14:paraId="6CB72AB5"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61,719</w:t>
            </w:r>
          </w:p>
        </w:tc>
        <w:tc>
          <w:tcPr>
            <w:tcW w:w="1014" w:type="dxa"/>
            <w:tcBorders>
              <w:top w:val="single" w:sz="8" w:space="0" w:color="auto"/>
              <w:left w:val="single" w:sz="4" w:space="0" w:color="auto"/>
              <w:bottom w:val="single" w:sz="4" w:space="0" w:color="auto"/>
              <w:right w:val="single" w:sz="8" w:space="0" w:color="auto"/>
            </w:tcBorders>
            <w:shd w:val="clear" w:color="000000" w:fill="DA9694"/>
            <w:noWrap/>
            <w:vAlign w:val="center"/>
            <w:hideMark/>
          </w:tcPr>
          <w:p w14:paraId="49EE6028"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157,448</w:t>
            </w:r>
          </w:p>
        </w:tc>
        <w:tc>
          <w:tcPr>
            <w:tcW w:w="1009" w:type="dxa"/>
            <w:tcBorders>
              <w:top w:val="nil"/>
              <w:left w:val="nil"/>
              <w:bottom w:val="single" w:sz="4" w:space="0" w:color="auto"/>
              <w:right w:val="nil"/>
            </w:tcBorders>
            <w:shd w:val="clear" w:color="000000" w:fill="C4D79B"/>
            <w:noWrap/>
            <w:vAlign w:val="center"/>
            <w:hideMark/>
          </w:tcPr>
          <w:p w14:paraId="58EBC8DA"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12,780</w:t>
            </w:r>
          </w:p>
        </w:tc>
        <w:tc>
          <w:tcPr>
            <w:tcW w:w="1014" w:type="dxa"/>
            <w:tcBorders>
              <w:top w:val="single" w:sz="8" w:space="0" w:color="auto"/>
              <w:left w:val="single" w:sz="4" w:space="0" w:color="auto"/>
              <w:bottom w:val="single" w:sz="4" w:space="0" w:color="auto"/>
              <w:right w:val="single" w:sz="8" w:space="0" w:color="auto"/>
            </w:tcBorders>
            <w:shd w:val="clear" w:color="000000" w:fill="C4D79B"/>
            <w:noWrap/>
            <w:vAlign w:val="center"/>
            <w:hideMark/>
          </w:tcPr>
          <w:p w14:paraId="688549BB"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36,004</w:t>
            </w:r>
          </w:p>
        </w:tc>
        <w:tc>
          <w:tcPr>
            <w:tcW w:w="1009" w:type="dxa"/>
            <w:tcBorders>
              <w:top w:val="nil"/>
              <w:left w:val="nil"/>
              <w:bottom w:val="single" w:sz="4" w:space="0" w:color="auto"/>
              <w:right w:val="nil"/>
            </w:tcBorders>
            <w:shd w:val="clear" w:color="000000" w:fill="BFBFBF"/>
            <w:noWrap/>
            <w:vAlign w:val="center"/>
            <w:hideMark/>
          </w:tcPr>
          <w:p w14:paraId="5C6A7268"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74,499</w:t>
            </w:r>
          </w:p>
        </w:tc>
        <w:tc>
          <w:tcPr>
            <w:tcW w:w="1014" w:type="dxa"/>
            <w:tcBorders>
              <w:top w:val="nil"/>
              <w:left w:val="single" w:sz="4" w:space="0" w:color="auto"/>
              <w:bottom w:val="single" w:sz="4" w:space="0" w:color="auto"/>
              <w:right w:val="single" w:sz="8" w:space="0" w:color="auto"/>
            </w:tcBorders>
            <w:shd w:val="clear" w:color="000000" w:fill="BFBFBF"/>
            <w:noWrap/>
            <w:vAlign w:val="center"/>
            <w:hideMark/>
          </w:tcPr>
          <w:p w14:paraId="7AB3FA10"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193,452</w:t>
            </w:r>
          </w:p>
        </w:tc>
      </w:tr>
      <w:tr w:rsidR="002072C2" w:rsidRPr="00295736" w14:paraId="5BDC0BFA" w14:textId="77777777" w:rsidTr="005A35A1">
        <w:trPr>
          <w:trHeight w:val="300"/>
        </w:trPr>
        <w:tc>
          <w:tcPr>
            <w:tcW w:w="2308" w:type="dxa"/>
            <w:tcBorders>
              <w:top w:val="nil"/>
              <w:left w:val="single" w:sz="8" w:space="0" w:color="auto"/>
              <w:bottom w:val="single" w:sz="4" w:space="0" w:color="auto"/>
              <w:right w:val="single" w:sz="8" w:space="0" w:color="auto"/>
            </w:tcBorders>
            <w:shd w:val="clear" w:color="auto" w:fill="auto"/>
            <w:noWrap/>
            <w:vAlign w:val="bottom"/>
            <w:hideMark/>
          </w:tcPr>
          <w:p w14:paraId="726EE871" w14:textId="77777777" w:rsidR="00295736" w:rsidRPr="00295736" w:rsidRDefault="00295736" w:rsidP="00295736">
            <w:pPr>
              <w:spacing w:before="0" w:after="0"/>
              <w:jc w:val="right"/>
              <w:rPr>
                <w:rFonts w:ascii="Calibri" w:hAnsi="Calibri"/>
                <w:b/>
                <w:bCs/>
                <w:color w:val="000000"/>
                <w:sz w:val="20"/>
                <w:szCs w:val="20"/>
              </w:rPr>
            </w:pPr>
            <w:r w:rsidRPr="00295736">
              <w:rPr>
                <w:rFonts w:ascii="Calibri" w:hAnsi="Calibri"/>
                <w:b/>
                <w:bCs/>
                <w:color w:val="000000"/>
                <w:sz w:val="20"/>
                <w:szCs w:val="20"/>
              </w:rPr>
              <w:t>SINGLE</w:t>
            </w:r>
          </w:p>
        </w:tc>
        <w:tc>
          <w:tcPr>
            <w:tcW w:w="1009" w:type="dxa"/>
            <w:tcBorders>
              <w:top w:val="nil"/>
              <w:left w:val="nil"/>
              <w:bottom w:val="single" w:sz="4" w:space="0" w:color="auto"/>
              <w:right w:val="nil"/>
            </w:tcBorders>
            <w:shd w:val="clear" w:color="auto" w:fill="auto"/>
            <w:noWrap/>
            <w:vAlign w:val="bottom"/>
            <w:hideMark/>
          </w:tcPr>
          <w:p w14:paraId="23D83B60"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20,443</w:t>
            </w: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396AA353"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20,443</w:t>
            </w:r>
          </w:p>
        </w:tc>
        <w:tc>
          <w:tcPr>
            <w:tcW w:w="1009" w:type="dxa"/>
            <w:tcBorders>
              <w:top w:val="nil"/>
              <w:left w:val="nil"/>
              <w:bottom w:val="single" w:sz="4" w:space="0" w:color="auto"/>
              <w:right w:val="nil"/>
            </w:tcBorders>
            <w:shd w:val="clear" w:color="auto" w:fill="auto"/>
            <w:noWrap/>
            <w:vAlign w:val="bottom"/>
            <w:hideMark/>
          </w:tcPr>
          <w:p w14:paraId="4B086BA3"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3,139</w:t>
            </w: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1D1626CE"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3,139</w:t>
            </w:r>
          </w:p>
        </w:tc>
        <w:tc>
          <w:tcPr>
            <w:tcW w:w="1009" w:type="dxa"/>
            <w:tcBorders>
              <w:top w:val="nil"/>
              <w:left w:val="nil"/>
              <w:bottom w:val="single" w:sz="4" w:space="0" w:color="auto"/>
              <w:right w:val="nil"/>
            </w:tcBorders>
            <w:shd w:val="clear" w:color="auto" w:fill="auto"/>
            <w:noWrap/>
            <w:vAlign w:val="bottom"/>
            <w:hideMark/>
          </w:tcPr>
          <w:p w14:paraId="75DB7776" w14:textId="77777777" w:rsidR="00295736" w:rsidRPr="00295736" w:rsidRDefault="00295736" w:rsidP="00295736">
            <w:pPr>
              <w:spacing w:before="0" w:after="0"/>
              <w:rPr>
                <w:rFonts w:ascii="Calibri" w:hAnsi="Calibri"/>
                <w:color w:val="000000"/>
                <w:sz w:val="20"/>
                <w:szCs w:val="20"/>
              </w:rPr>
            </w:pPr>
            <w:r w:rsidRPr="00295736">
              <w:rPr>
                <w:rFonts w:ascii="Calibri" w:hAnsi="Calibri"/>
                <w:color w:val="000000"/>
                <w:sz w:val="20"/>
                <w:szCs w:val="20"/>
              </w:rPr>
              <w:t> </w:t>
            </w: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7F82E6C5" w14:textId="77777777" w:rsidR="00295736" w:rsidRPr="00295736" w:rsidRDefault="00295736" w:rsidP="00295736">
            <w:pPr>
              <w:spacing w:before="0" w:after="0"/>
              <w:rPr>
                <w:rFonts w:ascii="Calibri" w:hAnsi="Calibri"/>
                <w:color w:val="000000"/>
                <w:sz w:val="20"/>
                <w:szCs w:val="20"/>
              </w:rPr>
            </w:pPr>
            <w:r w:rsidRPr="00295736">
              <w:rPr>
                <w:rFonts w:ascii="Calibri" w:hAnsi="Calibri"/>
                <w:color w:val="000000"/>
                <w:sz w:val="20"/>
                <w:szCs w:val="20"/>
              </w:rPr>
              <w:t> </w:t>
            </w:r>
          </w:p>
        </w:tc>
      </w:tr>
      <w:tr w:rsidR="002072C2" w:rsidRPr="00295736" w14:paraId="03F0BD59" w14:textId="77777777" w:rsidTr="005A35A1">
        <w:trPr>
          <w:trHeight w:val="315"/>
        </w:trPr>
        <w:tc>
          <w:tcPr>
            <w:tcW w:w="2308" w:type="dxa"/>
            <w:tcBorders>
              <w:top w:val="nil"/>
              <w:left w:val="single" w:sz="8" w:space="0" w:color="auto"/>
              <w:bottom w:val="single" w:sz="8" w:space="0" w:color="auto"/>
              <w:right w:val="single" w:sz="8" w:space="0" w:color="auto"/>
            </w:tcBorders>
            <w:shd w:val="clear" w:color="auto" w:fill="auto"/>
            <w:noWrap/>
            <w:vAlign w:val="bottom"/>
            <w:hideMark/>
          </w:tcPr>
          <w:p w14:paraId="23C44BC4" w14:textId="77777777" w:rsidR="00295736" w:rsidRPr="00295736" w:rsidRDefault="00295736" w:rsidP="00295736">
            <w:pPr>
              <w:spacing w:before="0" w:after="0"/>
              <w:jc w:val="right"/>
              <w:rPr>
                <w:rFonts w:ascii="Calibri" w:hAnsi="Calibri"/>
                <w:b/>
                <w:bCs/>
                <w:color w:val="000000"/>
                <w:sz w:val="20"/>
                <w:szCs w:val="20"/>
              </w:rPr>
            </w:pPr>
            <w:r w:rsidRPr="00295736">
              <w:rPr>
                <w:rFonts w:ascii="Calibri" w:hAnsi="Calibri"/>
                <w:b/>
                <w:bCs/>
                <w:color w:val="000000"/>
                <w:sz w:val="20"/>
                <w:szCs w:val="20"/>
              </w:rPr>
              <w:t>FAMILY</w:t>
            </w:r>
          </w:p>
        </w:tc>
        <w:tc>
          <w:tcPr>
            <w:tcW w:w="1009" w:type="dxa"/>
            <w:tcBorders>
              <w:top w:val="nil"/>
              <w:left w:val="nil"/>
              <w:bottom w:val="single" w:sz="4" w:space="0" w:color="auto"/>
              <w:right w:val="nil"/>
            </w:tcBorders>
            <w:shd w:val="clear" w:color="auto" w:fill="auto"/>
            <w:noWrap/>
            <w:vAlign w:val="bottom"/>
            <w:hideMark/>
          </w:tcPr>
          <w:p w14:paraId="3C9B5ECB"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41,276</w:t>
            </w: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2F905B41"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137,005</w:t>
            </w:r>
          </w:p>
        </w:tc>
        <w:tc>
          <w:tcPr>
            <w:tcW w:w="1009" w:type="dxa"/>
            <w:tcBorders>
              <w:top w:val="nil"/>
              <w:left w:val="nil"/>
              <w:bottom w:val="single" w:sz="8" w:space="0" w:color="auto"/>
              <w:right w:val="nil"/>
            </w:tcBorders>
            <w:shd w:val="clear" w:color="auto" w:fill="auto"/>
            <w:noWrap/>
            <w:vAlign w:val="bottom"/>
            <w:hideMark/>
          </w:tcPr>
          <w:p w14:paraId="5009875B"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9,641</w:t>
            </w:r>
          </w:p>
        </w:tc>
        <w:tc>
          <w:tcPr>
            <w:tcW w:w="1014" w:type="dxa"/>
            <w:tcBorders>
              <w:top w:val="nil"/>
              <w:left w:val="single" w:sz="4" w:space="0" w:color="auto"/>
              <w:bottom w:val="single" w:sz="8" w:space="0" w:color="auto"/>
              <w:right w:val="single" w:sz="8" w:space="0" w:color="auto"/>
            </w:tcBorders>
            <w:shd w:val="clear" w:color="auto" w:fill="auto"/>
            <w:noWrap/>
            <w:vAlign w:val="bottom"/>
            <w:hideMark/>
          </w:tcPr>
          <w:p w14:paraId="189A977C"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32,865</w:t>
            </w:r>
          </w:p>
        </w:tc>
        <w:tc>
          <w:tcPr>
            <w:tcW w:w="1009" w:type="dxa"/>
            <w:tcBorders>
              <w:top w:val="nil"/>
              <w:left w:val="nil"/>
              <w:bottom w:val="single" w:sz="8" w:space="0" w:color="auto"/>
              <w:right w:val="nil"/>
            </w:tcBorders>
            <w:shd w:val="clear" w:color="auto" w:fill="auto"/>
            <w:noWrap/>
            <w:vAlign w:val="bottom"/>
            <w:hideMark/>
          </w:tcPr>
          <w:p w14:paraId="7DB23953" w14:textId="77777777" w:rsidR="00295736" w:rsidRPr="00295736" w:rsidRDefault="00295736" w:rsidP="00295736">
            <w:pPr>
              <w:spacing w:before="0" w:after="0"/>
              <w:rPr>
                <w:rFonts w:ascii="Calibri" w:hAnsi="Calibri"/>
                <w:color w:val="000000"/>
                <w:sz w:val="20"/>
                <w:szCs w:val="20"/>
              </w:rPr>
            </w:pPr>
            <w:r w:rsidRPr="00295736">
              <w:rPr>
                <w:rFonts w:ascii="Calibri" w:hAnsi="Calibri"/>
                <w:color w:val="000000"/>
                <w:sz w:val="20"/>
                <w:szCs w:val="20"/>
              </w:rPr>
              <w:t> </w:t>
            </w:r>
          </w:p>
        </w:tc>
        <w:tc>
          <w:tcPr>
            <w:tcW w:w="1014" w:type="dxa"/>
            <w:tcBorders>
              <w:top w:val="nil"/>
              <w:left w:val="single" w:sz="4" w:space="0" w:color="auto"/>
              <w:bottom w:val="single" w:sz="8" w:space="0" w:color="auto"/>
              <w:right w:val="single" w:sz="8" w:space="0" w:color="auto"/>
            </w:tcBorders>
            <w:shd w:val="clear" w:color="auto" w:fill="auto"/>
            <w:noWrap/>
            <w:vAlign w:val="bottom"/>
            <w:hideMark/>
          </w:tcPr>
          <w:p w14:paraId="394E17B8" w14:textId="77777777" w:rsidR="00295736" w:rsidRPr="00295736" w:rsidRDefault="00295736" w:rsidP="00295736">
            <w:pPr>
              <w:spacing w:before="0" w:after="0"/>
              <w:rPr>
                <w:rFonts w:ascii="Calibri" w:hAnsi="Calibri"/>
                <w:color w:val="000000"/>
                <w:sz w:val="20"/>
                <w:szCs w:val="20"/>
              </w:rPr>
            </w:pPr>
            <w:r w:rsidRPr="00295736">
              <w:rPr>
                <w:rFonts w:ascii="Calibri" w:hAnsi="Calibri"/>
                <w:color w:val="000000"/>
                <w:sz w:val="20"/>
                <w:szCs w:val="20"/>
              </w:rPr>
              <w:t> </w:t>
            </w:r>
          </w:p>
        </w:tc>
      </w:tr>
      <w:tr w:rsidR="002072C2" w:rsidRPr="00295736" w14:paraId="0BBA0142" w14:textId="77777777" w:rsidTr="005A35A1">
        <w:trPr>
          <w:trHeight w:val="300"/>
        </w:trPr>
        <w:tc>
          <w:tcPr>
            <w:tcW w:w="2308" w:type="dxa"/>
            <w:tcBorders>
              <w:top w:val="nil"/>
              <w:left w:val="single" w:sz="8" w:space="0" w:color="auto"/>
              <w:bottom w:val="single" w:sz="4" w:space="0" w:color="auto"/>
              <w:right w:val="single" w:sz="8" w:space="0" w:color="auto"/>
            </w:tcBorders>
            <w:shd w:val="clear" w:color="000000" w:fill="95B3D7"/>
            <w:noWrap/>
            <w:vAlign w:val="bottom"/>
            <w:hideMark/>
          </w:tcPr>
          <w:p w14:paraId="459CA818" w14:textId="2D228CDD" w:rsidR="00295736" w:rsidRPr="00295736" w:rsidRDefault="002072C2" w:rsidP="00295736">
            <w:pPr>
              <w:spacing w:before="0" w:after="0"/>
              <w:rPr>
                <w:rFonts w:ascii="Calibri" w:hAnsi="Calibri"/>
                <w:b/>
                <w:bCs/>
                <w:color w:val="000000"/>
                <w:sz w:val="20"/>
                <w:szCs w:val="20"/>
              </w:rPr>
            </w:pPr>
            <w:r>
              <w:rPr>
                <w:rFonts w:ascii="Calibri" w:hAnsi="Calibri"/>
                <w:b/>
                <w:bCs/>
                <w:color w:val="000000"/>
                <w:sz w:val="20"/>
                <w:szCs w:val="20"/>
              </w:rPr>
              <w:t>ANNUITANT</w:t>
            </w:r>
          </w:p>
        </w:tc>
        <w:tc>
          <w:tcPr>
            <w:tcW w:w="1009" w:type="dxa"/>
            <w:tcBorders>
              <w:top w:val="single" w:sz="8" w:space="0" w:color="auto"/>
              <w:left w:val="nil"/>
              <w:bottom w:val="single" w:sz="4" w:space="0" w:color="auto"/>
              <w:right w:val="nil"/>
            </w:tcBorders>
            <w:shd w:val="clear" w:color="000000" w:fill="DA9694"/>
            <w:noWrap/>
            <w:vAlign w:val="center"/>
            <w:hideMark/>
          </w:tcPr>
          <w:p w14:paraId="25E9735E"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26,126</w:t>
            </w:r>
          </w:p>
        </w:tc>
        <w:tc>
          <w:tcPr>
            <w:tcW w:w="1014" w:type="dxa"/>
            <w:tcBorders>
              <w:top w:val="single" w:sz="8" w:space="0" w:color="auto"/>
              <w:left w:val="single" w:sz="4" w:space="0" w:color="auto"/>
              <w:bottom w:val="single" w:sz="4" w:space="0" w:color="auto"/>
              <w:right w:val="single" w:sz="8" w:space="0" w:color="auto"/>
            </w:tcBorders>
            <w:shd w:val="clear" w:color="000000" w:fill="DA9694"/>
            <w:noWrap/>
            <w:vAlign w:val="center"/>
            <w:hideMark/>
          </w:tcPr>
          <w:p w14:paraId="07FB9E0A"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38,607</w:t>
            </w:r>
          </w:p>
        </w:tc>
        <w:tc>
          <w:tcPr>
            <w:tcW w:w="1009" w:type="dxa"/>
            <w:tcBorders>
              <w:top w:val="nil"/>
              <w:left w:val="nil"/>
              <w:bottom w:val="single" w:sz="4" w:space="0" w:color="auto"/>
              <w:right w:val="nil"/>
            </w:tcBorders>
            <w:shd w:val="clear" w:color="000000" w:fill="C4D79B"/>
            <w:noWrap/>
            <w:vAlign w:val="center"/>
            <w:hideMark/>
          </w:tcPr>
          <w:p w14:paraId="5AEAA4A5"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2,254</w:t>
            </w:r>
          </w:p>
        </w:tc>
        <w:tc>
          <w:tcPr>
            <w:tcW w:w="1014" w:type="dxa"/>
            <w:tcBorders>
              <w:top w:val="nil"/>
              <w:left w:val="single" w:sz="4" w:space="0" w:color="auto"/>
              <w:bottom w:val="single" w:sz="4" w:space="0" w:color="auto"/>
              <w:right w:val="single" w:sz="8" w:space="0" w:color="auto"/>
            </w:tcBorders>
            <w:shd w:val="clear" w:color="000000" w:fill="C4D79B"/>
            <w:noWrap/>
            <w:vAlign w:val="center"/>
            <w:hideMark/>
          </w:tcPr>
          <w:p w14:paraId="76BB44ED"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3,333</w:t>
            </w:r>
          </w:p>
        </w:tc>
        <w:tc>
          <w:tcPr>
            <w:tcW w:w="1009" w:type="dxa"/>
            <w:tcBorders>
              <w:top w:val="nil"/>
              <w:left w:val="nil"/>
              <w:bottom w:val="single" w:sz="4" w:space="0" w:color="auto"/>
              <w:right w:val="nil"/>
            </w:tcBorders>
            <w:shd w:val="clear" w:color="000000" w:fill="BFBFBF"/>
            <w:noWrap/>
            <w:vAlign w:val="center"/>
            <w:hideMark/>
          </w:tcPr>
          <w:p w14:paraId="09502306"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28,380</w:t>
            </w:r>
          </w:p>
        </w:tc>
        <w:tc>
          <w:tcPr>
            <w:tcW w:w="1014" w:type="dxa"/>
            <w:tcBorders>
              <w:top w:val="nil"/>
              <w:left w:val="single" w:sz="4" w:space="0" w:color="auto"/>
              <w:bottom w:val="single" w:sz="4" w:space="0" w:color="auto"/>
              <w:right w:val="single" w:sz="8" w:space="0" w:color="auto"/>
            </w:tcBorders>
            <w:shd w:val="clear" w:color="000000" w:fill="BFBFBF"/>
            <w:noWrap/>
            <w:vAlign w:val="center"/>
            <w:hideMark/>
          </w:tcPr>
          <w:p w14:paraId="625C5872"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41,940</w:t>
            </w:r>
          </w:p>
        </w:tc>
      </w:tr>
      <w:tr w:rsidR="002072C2" w:rsidRPr="00295736" w14:paraId="7A31288D" w14:textId="77777777" w:rsidTr="005A35A1">
        <w:trPr>
          <w:trHeight w:val="300"/>
        </w:trPr>
        <w:tc>
          <w:tcPr>
            <w:tcW w:w="2308" w:type="dxa"/>
            <w:tcBorders>
              <w:top w:val="nil"/>
              <w:left w:val="single" w:sz="8" w:space="0" w:color="auto"/>
              <w:bottom w:val="single" w:sz="4" w:space="0" w:color="auto"/>
              <w:right w:val="single" w:sz="8" w:space="0" w:color="auto"/>
            </w:tcBorders>
            <w:shd w:val="clear" w:color="auto" w:fill="auto"/>
            <w:noWrap/>
            <w:vAlign w:val="bottom"/>
            <w:hideMark/>
          </w:tcPr>
          <w:p w14:paraId="79CEED68" w14:textId="77777777" w:rsidR="00295736" w:rsidRPr="00295736" w:rsidRDefault="00295736" w:rsidP="00295736">
            <w:pPr>
              <w:spacing w:before="0" w:after="0"/>
              <w:jc w:val="right"/>
              <w:rPr>
                <w:rFonts w:ascii="Calibri" w:hAnsi="Calibri"/>
                <w:b/>
                <w:bCs/>
                <w:color w:val="000000"/>
                <w:sz w:val="20"/>
                <w:szCs w:val="20"/>
              </w:rPr>
            </w:pPr>
            <w:r w:rsidRPr="00295736">
              <w:rPr>
                <w:rFonts w:ascii="Calibri" w:hAnsi="Calibri"/>
                <w:b/>
                <w:bCs/>
                <w:color w:val="000000"/>
                <w:sz w:val="20"/>
                <w:szCs w:val="20"/>
              </w:rPr>
              <w:t>SINGLE</w:t>
            </w:r>
          </w:p>
        </w:tc>
        <w:tc>
          <w:tcPr>
            <w:tcW w:w="1009" w:type="dxa"/>
            <w:tcBorders>
              <w:top w:val="nil"/>
              <w:left w:val="nil"/>
              <w:bottom w:val="single" w:sz="4" w:space="0" w:color="auto"/>
              <w:right w:val="nil"/>
            </w:tcBorders>
            <w:shd w:val="clear" w:color="auto" w:fill="auto"/>
            <w:noWrap/>
            <w:vAlign w:val="bottom"/>
            <w:hideMark/>
          </w:tcPr>
          <w:p w14:paraId="1276A3F9"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14,880</w:t>
            </w: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6C7D3E3A"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14,880</w:t>
            </w:r>
          </w:p>
        </w:tc>
        <w:tc>
          <w:tcPr>
            <w:tcW w:w="1009" w:type="dxa"/>
            <w:tcBorders>
              <w:top w:val="nil"/>
              <w:left w:val="nil"/>
              <w:bottom w:val="single" w:sz="4" w:space="0" w:color="auto"/>
              <w:right w:val="nil"/>
            </w:tcBorders>
            <w:shd w:val="clear" w:color="auto" w:fill="auto"/>
            <w:noWrap/>
            <w:vAlign w:val="bottom"/>
            <w:hideMark/>
          </w:tcPr>
          <w:p w14:paraId="1BC92ECF"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1,372</w:t>
            </w: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101578DE"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1,372</w:t>
            </w:r>
          </w:p>
        </w:tc>
        <w:tc>
          <w:tcPr>
            <w:tcW w:w="1009" w:type="dxa"/>
            <w:tcBorders>
              <w:top w:val="nil"/>
              <w:left w:val="nil"/>
              <w:bottom w:val="single" w:sz="4" w:space="0" w:color="auto"/>
              <w:right w:val="nil"/>
            </w:tcBorders>
            <w:shd w:val="clear" w:color="auto" w:fill="auto"/>
            <w:noWrap/>
            <w:vAlign w:val="bottom"/>
            <w:hideMark/>
          </w:tcPr>
          <w:p w14:paraId="22CAA2EF" w14:textId="77777777" w:rsidR="00295736" w:rsidRPr="00295736" w:rsidRDefault="00295736" w:rsidP="00295736">
            <w:pPr>
              <w:spacing w:before="0" w:after="0"/>
              <w:rPr>
                <w:rFonts w:ascii="Calibri" w:hAnsi="Calibri"/>
                <w:color w:val="000000"/>
                <w:sz w:val="20"/>
                <w:szCs w:val="20"/>
              </w:rPr>
            </w:pPr>
            <w:r w:rsidRPr="00295736">
              <w:rPr>
                <w:rFonts w:ascii="Calibri" w:hAnsi="Calibri"/>
                <w:color w:val="000000"/>
                <w:sz w:val="20"/>
                <w:szCs w:val="20"/>
              </w:rPr>
              <w:t> </w:t>
            </w: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52D96CD6" w14:textId="77777777" w:rsidR="00295736" w:rsidRPr="00295736" w:rsidRDefault="00295736" w:rsidP="00295736">
            <w:pPr>
              <w:spacing w:before="0" w:after="0"/>
              <w:rPr>
                <w:rFonts w:ascii="Calibri" w:hAnsi="Calibri"/>
                <w:color w:val="000000"/>
                <w:sz w:val="20"/>
                <w:szCs w:val="20"/>
              </w:rPr>
            </w:pPr>
            <w:r w:rsidRPr="00295736">
              <w:rPr>
                <w:rFonts w:ascii="Calibri" w:hAnsi="Calibri"/>
                <w:color w:val="000000"/>
                <w:sz w:val="20"/>
                <w:szCs w:val="20"/>
              </w:rPr>
              <w:t> </w:t>
            </w:r>
          </w:p>
        </w:tc>
      </w:tr>
      <w:tr w:rsidR="002072C2" w:rsidRPr="00295736" w14:paraId="45F3E3A9" w14:textId="77777777" w:rsidTr="005A35A1">
        <w:trPr>
          <w:trHeight w:val="315"/>
        </w:trPr>
        <w:tc>
          <w:tcPr>
            <w:tcW w:w="2308" w:type="dxa"/>
            <w:tcBorders>
              <w:top w:val="nil"/>
              <w:left w:val="single" w:sz="8" w:space="0" w:color="auto"/>
              <w:bottom w:val="single" w:sz="8" w:space="0" w:color="auto"/>
              <w:right w:val="single" w:sz="8" w:space="0" w:color="auto"/>
            </w:tcBorders>
            <w:shd w:val="clear" w:color="auto" w:fill="auto"/>
            <w:noWrap/>
            <w:vAlign w:val="bottom"/>
            <w:hideMark/>
          </w:tcPr>
          <w:p w14:paraId="4AEDAF1F" w14:textId="77777777" w:rsidR="00295736" w:rsidRPr="00295736" w:rsidRDefault="00295736" w:rsidP="00295736">
            <w:pPr>
              <w:spacing w:before="0" w:after="0"/>
              <w:jc w:val="right"/>
              <w:rPr>
                <w:rFonts w:ascii="Calibri" w:hAnsi="Calibri"/>
                <w:b/>
                <w:bCs/>
                <w:color w:val="000000"/>
                <w:sz w:val="20"/>
                <w:szCs w:val="20"/>
              </w:rPr>
            </w:pPr>
            <w:r w:rsidRPr="00295736">
              <w:rPr>
                <w:rFonts w:ascii="Calibri" w:hAnsi="Calibri"/>
                <w:b/>
                <w:bCs/>
                <w:color w:val="000000"/>
                <w:sz w:val="20"/>
                <w:szCs w:val="20"/>
              </w:rPr>
              <w:t>FAMILY</w:t>
            </w:r>
          </w:p>
        </w:tc>
        <w:tc>
          <w:tcPr>
            <w:tcW w:w="1009" w:type="dxa"/>
            <w:tcBorders>
              <w:top w:val="nil"/>
              <w:left w:val="nil"/>
              <w:bottom w:val="single" w:sz="4" w:space="0" w:color="auto"/>
              <w:right w:val="nil"/>
            </w:tcBorders>
            <w:shd w:val="clear" w:color="auto" w:fill="auto"/>
            <w:noWrap/>
            <w:vAlign w:val="bottom"/>
            <w:hideMark/>
          </w:tcPr>
          <w:p w14:paraId="1B640285"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11,246</w:t>
            </w: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66C15C04"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23,727</w:t>
            </w:r>
          </w:p>
        </w:tc>
        <w:tc>
          <w:tcPr>
            <w:tcW w:w="1009" w:type="dxa"/>
            <w:tcBorders>
              <w:top w:val="nil"/>
              <w:left w:val="nil"/>
              <w:bottom w:val="single" w:sz="8" w:space="0" w:color="auto"/>
              <w:right w:val="nil"/>
            </w:tcBorders>
            <w:shd w:val="clear" w:color="auto" w:fill="auto"/>
            <w:noWrap/>
            <w:vAlign w:val="bottom"/>
            <w:hideMark/>
          </w:tcPr>
          <w:p w14:paraId="22F3EC08"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882</w:t>
            </w:r>
          </w:p>
        </w:tc>
        <w:tc>
          <w:tcPr>
            <w:tcW w:w="1014" w:type="dxa"/>
            <w:tcBorders>
              <w:top w:val="nil"/>
              <w:left w:val="single" w:sz="4" w:space="0" w:color="auto"/>
              <w:bottom w:val="single" w:sz="8" w:space="0" w:color="auto"/>
              <w:right w:val="single" w:sz="8" w:space="0" w:color="auto"/>
            </w:tcBorders>
            <w:shd w:val="clear" w:color="auto" w:fill="auto"/>
            <w:noWrap/>
            <w:vAlign w:val="bottom"/>
            <w:hideMark/>
          </w:tcPr>
          <w:p w14:paraId="02B2BBF0"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1,961</w:t>
            </w:r>
          </w:p>
        </w:tc>
        <w:tc>
          <w:tcPr>
            <w:tcW w:w="1009" w:type="dxa"/>
            <w:tcBorders>
              <w:top w:val="nil"/>
              <w:left w:val="nil"/>
              <w:bottom w:val="single" w:sz="8" w:space="0" w:color="auto"/>
              <w:right w:val="nil"/>
            </w:tcBorders>
            <w:shd w:val="clear" w:color="auto" w:fill="auto"/>
            <w:noWrap/>
            <w:vAlign w:val="bottom"/>
            <w:hideMark/>
          </w:tcPr>
          <w:p w14:paraId="1DE08F2D" w14:textId="77777777" w:rsidR="00295736" w:rsidRPr="00295736" w:rsidRDefault="00295736" w:rsidP="00295736">
            <w:pPr>
              <w:spacing w:before="0" w:after="0"/>
              <w:rPr>
                <w:rFonts w:ascii="Calibri" w:hAnsi="Calibri"/>
                <w:color w:val="000000"/>
                <w:sz w:val="20"/>
                <w:szCs w:val="20"/>
              </w:rPr>
            </w:pPr>
            <w:r w:rsidRPr="00295736">
              <w:rPr>
                <w:rFonts w:ascii="Calibri" w:hAnsi="Calibri"/>
                <w:color w:val="000000"/>
                <w:sz w:val="20"/>
                <w:szCs w:val="20"/>
              </w:rPr>
              <w:t> </w:t>
            </w:r>
          </w:p>
        </w:tc>
        <w:tc>
          <w:tcPr>
            <w:tcW w:w="1014" w:type="dxa"/>
            <w:tcBorders>
              <w:top w:val="nil"/>
              <w:left w:val="single" w:sz="4" w:space="0" w:color="auto"/>
              <w:bottom w:val="single" w:sz="8" w:space="0" w:color="auto"/>
              <w:right w:val="single" w:sz="8" w:space="0" w:color="auto"/>
            </w:tcBorders>
            <w:shd w:val="clear" w:color="auto" w:fill="auto"/>
            <w:noWrap/>
            <w:vAlign w:val="bottom"/>
            <w:hideMark/>
          </w:tcPr>
          <w:p w14:paraId="4AE1728A" w14:textId="77777777" w:rsidR="00295736" w:rsidRPr="00295736" w:rsidRDefault="00295736" w:rsidP="00295736">
            <w:pPr>
              <w:spacing w:before="0" w:after="0"/>
              <w:rPr>
                <w:rFonts w:ascii="Calibri" w:hAnsi="Calibri"/>
                <w:color w:val="000000"/>
                <w:sz w:val="20"/>
                <w:szCs w:val="20"/>
              </w:rPr>
            </w:pPr>
            <w:r w:rsidRPr="00295736">
              <w:rPr>
                <w:rFonts w:ascii="Calibri" w:hAnsi="Calibri"/>
                <w:color w:val="000000"/>
                <w:sz w:val="20"/>
                <w:szCs w:val="20"/>
              </w:rPr>
              <w:t> </w:t>
            </w:r>
          </w:p>
        </w:tc>
      </w:tr>
      <w:tr w:rsidR="002072C2" w:rsidRPr="00295736" w14:paraId="63CEBE48" w14:textId="77777777" w:rsidTr="005A35A1">
        <w:trPr>
          <w:trHeight w:val="300"/>
        </w:trPr>
        <w:tc>
          <w:tcPr>
            <w:tcW w:w="2308" w:type="dxa"/>
            <w:tcBorders>
              <w:top w:val="nil"/>
              <w:left w:val="single" w:sz="8" w:space="0" w:color="auto"/>
              <w:bottom w:val="single" w:sz="4" w:space="0" w:color="auto"/>
              <w:right w:val="single" w:sz="8" w:space="0" w:color="auto"/>
            </w:tcBorders>
            <w:shd w:val="clear" w:color="000000" w:fill="95B3D7"/>
            <w:noWrap/>
            <w:vAlign w:val="bottom"/>
            <w:hideMark/>
          </w:tcPr>
          <w:p w14:paraId="3871A7D5" w14:textId="77777777" w:rsidR="00295736" w:rsidRPr="00295736" w:rsidRDefault="00295736" w:rsidP="00295736">
            <w:pPr>
              <w:spacing w:before="0" w:after="0"/>
              <w:rPr>
                <w:rFonts w:ascii="Calibri" w:hAnsi="Calibri"/>
                <w:b/>
                <w:bCs/>
                <w:color w:val="000000"/>
                <w:sz w:val="20"/>
                <w:szCs w:val="20"/>
              </w:rPr>
            </w:pPr>
            <w:r w:rsidRPr="00295736">
              <w:rPr>
                <w:rFonts w:ascii="Calibri" w:hAnsi="Calibri"/>
                <w:b/>
                <w:bCs/>
                <w:color w:val="000000"/>
                <w:sz w:val="20"/>
                <w:szCs w:val="20"/>
              </w:rPr>
              <w:t>CONTINUANT</w:t>
            </w:r>
          </w:p>
        </w:tc>
        <w:tc>
          <w:tcPr>
            <w:tcW w:w="1009" w:type="dxa"/>
            <w:tcBorders>
              <w:top w:val="single" w:sz="8" w:space="0" w:color="auto"/>
              <w:left w:val="nil"/>
              <w:bottom w:val="single" w:sz="4" w:space="0" w:color="auto"/>
              <w:right w:val="nil"/>
            </w:tcBorders>
            <w:shd w:val="clear" w:color="000000" w:fill="DA9694"/>
            <w:noWrap/>
            <w:vAlign w:val="center"/>
            <w:hideMark/>
          </w:tcPr>
          <w:p w14:paraId="7B405D42"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144</w:t>
            </w:r>
          </w:p>
        </w:tc>
        <w:tc>
          <w:tcPr>
            <w:tcW w:w="1014" w:type="dxa"/>
            <w:tcBorders>
              <w:top w:val="single" w:sz="8" w:space="0" w:color="auto"/>
              <w:left w:val="single" w:sz="4" w:space="0" w:color="auto"/>
              <w:bottom w:val="single" w:sz="4" w:space="0" w:color="auto"/>
              <w:right w:val="single" w:sz="8" w:space="0" w:color="auto"/>
            </w:tcBorders>
            <w:shd w:val="clear" w:color="000000" w:fill="DA9694"/>
            <w:noWrap/>
            <w:vAlign w:val="center"/>
            <w:hideMark/>
          </w:tcPr>
          <w:p w14:paraId="6F46A6BC"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230</w:t>
            </w:r>
          </w:p>
        </w:tc>
        <w:tc>
          <w:tcPr>
            <w:tcW w:w="1009" w:type="dxa"/>
            <w:tcBorders>
              <w:top w:val="nil"/>
              <w:left w:val="nil"/>
              <w:bottom w:val="single" w:sz="4" w:space="0" w:color="auto"/>
              <w:right w:val="nil"/>
            </w:tcBorders>
            <w:shd w:val="clear" w:color="000000" w:fill="C4D79B"/>
            <w:noWrap/>
            <w:vAlign w:val="center"/>
            <w:hideMark/>
          </w:tcPr>
          <w:p w14:paraId="04775A95"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43</w:t>
            </w:r>
          </w:p>
        </w:tc>
        <w:tc>
          <w:tcPr>
            <w:tcW w:w="1014" w:type="dxa"/>
            <w:tcBorders>
              <w:top w:val="nil"/>
              <w:left w:val="single" w:sz="4" w:space="0" w:color="auto"/>
              <w:bottom w:val="single" w:sz="4" w:space="0" w:color="auto"/>
              <w:right w:val="single" w:sz="8" w:space="0" w:color="auto"/>
            </w:tcBorders>
            <w:shd w:val="clear" w:color="000000" w:fill="C4D79B"/>
            <w:noWrap/>
            <w:vAlign w:val="center"/>
            <w:hideMark/>
          </w:tcPr>
          <w:p w14:paraId="71DAC956"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78</w:t>
            </w:r>
          </w:p>
        </w:tc>
        <w:tc>
          <w:tcPr>
            <w:tcW w:w="1009" w:type="dxa"/>
            <w:tcBorders>
              <w:top w:val="nil"/>
              <w:left w:val="nil"/>
              <w:bottom w:val="single" w:sz="4" w:space="0" w:color="auto"/>
              <w:right w:val="nil"/>
            </w:tcBorders>
            <w:shd w:val="clear" w:color="000000" w:fill="BFBFBF"/>
            <w:noWrap/>
            <w:vAlign w:val="center"/>
            <w:hideMark/>
          </w:tcPr>
          <w:p w14:paraId="716AE5D2"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187</w:t>
            </w:r>
          </w:p>
        </w:tc>
        <w:tc>
          <w:tcPr>
            <w:tcW w:w="1014" w:type="dxa"/>
            <w:tcBorders>
              <w:top w:val="nil"/>
              <w:left w:val="single" w:sz="4" w:space="0" w:color="auto"/>
              <w:bottom w:val="single" w:sz="4" w:space="0" w:color="auto"/>
              <w:right w:val="single" w:sz="8" w:space="0" w:color="auto"/>
            </w:tcBorders>
            <w:shd w:val="clear" w:color="000000" w:fill="BFBFBF"/>
            <w:noWrap/>
            <w:vAlign w:val="center"/>
            <w:hideMark/>
          </w:tcPr>
          <w:p w14:paraId="2CFF939D"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308</w:t>
            </w:r>
          </w:p>
        </w:tc>
      </w:tr>
      <w:tr w:rsidR="002072C2" w:rsidRPr="00295736" w14:paraId="1D74E262" w14:textId="77777777" w:rsidTr="005A35A1">
        <w:trPr>
          <w:trHeight w:val="300"/>
        </w:trPr>
        <w:tc>
          <w:tcPr>
            <w:tcW w:w="2308" w:type="dxa"/>
            <w:tcBorders>
              <w:top w:val="nil"/>
              <w:left w:val="single" w:sz="8" w:space="0" w:color="auto"/>
              <w:bottom w:val="single" w:sz="4" w:space="0" w:color="auto"/>
              <w:right w:val="single" w:sz="8" w:space="0" w:color="auto"/>
            </w:tcBorders>
            <w:shd w:val="clear" w:color="auto" w:fill="auto"/>
            <w:noWrap/>
            <w:vAlign w:val="bottom"/>
            <w:hideMark/>
          </w:tcPr>
          <w:p w14:paraId="0D66BE9B" w14:textId="77777777" w:rsidR="00295736" w:rsidRPr="00295736" w:rsidRDefault="00295736" w:rsidP="00295736">
            <w:pPr>
              <w:spacing w:before="0" w:after="0"/>
              <w:jc w:val="right"/>
              <w:rPr>
                <w:rFonts w:ascii="Calibri" w:hAnsi="Calibri"/>
                <w:b/>
                <w:bCs/>
                <w:color w:val="000000"/>
                <w:sz w:val="20"/>
                <w:szCs w:val="20"/>
              </w:rPr>
            </w:pPr>
            <w:r w:rsidRPr="00295736">
              <w:rPr>
                <w:rFonts w:ascii="Calibri" w:hAnsi="Calibri"/>
                <w:b/>
                <w:bCs/>
                <w:color w:val="000000"/>
                <w:sz w:val="20"/>
                <w:szCs w:val="20"/>
              </w:rPr>
              <w:t>SINGLE</w:t>
            </w:r>
          </w:p>
        </w:tc>
        <w:tc>
          <w:tcPr>
            <w:tcW w:w="1009" w:type="dxa"/>
            <w:tcBorders>
              <w:top w:val="nil"/>
              <w:left w:val="nil"/>
              <w:bottom w:val="single" w:sz="4" w:space="0" w:color="auto"/>
              <w:right w:val="nil"/>
            </w:tcBorders>
            <w:shd w:val="clear" w:color="auto" w:fill="auto"/>
            <w:noWrap/>
            <w:vAlign w:val="bottom"/>
            <w:hideMark/>
          </w:tcPr>
          <w:p w14:paraId="39AAE9BF"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108</w:t>
            </w: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6CD60905"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108</w:t>
            </w:r>
          </w:p>
        </w:tc>
        <w:tc>
          <w:tcPr>
            <w:tcW w:w="1009" w:type="dxa"/>
            <w:tcBorders>
              <w:top w:val="nil"/>
              <w:left w:val="nil"/>
              <w:bottom w:val="single" w:sz="4" w:space="0" w:color="auto"/>
              <w:right w:val="nil"/>
            </w:tcBorders>
            <w:shd w:val="clear" w:color="auto" w:fill="auto"/>
            <w:noWrap/>
            <w:vAlign w:val="bottom"/>
            <w:hideMark/>
          </w:tcPr>
          <w:p w14:paraId="6A24ED57"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30</w:t>
            </w: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25B20B6F"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30</w:t>
            </w:r>
          </w:p>
        </w:tc>
        <w:tc>
          <w:tcPr>
            <w:tcW w:w="1009" w:type="dxa"/>
            <w:tcBorders>
              <w:top w:val="nil"/>
              <w:left w:val="nil"/>
              <w:bottom w:val="single" w:sz="4" w:space="0" w:color="auto"/>
              <w:right w:val="nil"/>
            </w:tcBorders>
            <w:shd w:val="clear" w:color="auto" w:fill="auto"/>
            <w:noWrap/>
            <w:vAlign w:val="bottom"/>
            <w:hideMark/>
          </w:tcPr>
          <w:p w14:paraId="3A6D5939" w14:textId="77777777" w:rsidR="00295736" w:rsidRPr="00295736" w:rsidRDefault="00295736" w:rsidP="00295736">
            <w:pPr>
              <w:spacing w:before="0" w:after="0"/>
              <w:rPr>
                <w:rFonts w:ascii="Calibri" w:hAnsi="Calibri"/>
                <w:color w:val="000000"/>
                <w:sz w:val="20"/>
                <w:szCs w:val="20"/>
              </w:rPr>
            </w:pPr>
            <w:r w:rsidRPr="00295736">
              <w:rPr>
                <w:rFonts w:ascii="Calibri" w:hAnsi="Calibri"/>
                <w:color w:val="000000"/>
                <w:sz w:val="20"/>
                <w:szCs w:val="20"/>
              </w:rPr>
              <w:t> </w:t>
            </w: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1004A684" w14:textId="77777777" w:rsidR="00295736" w:rsidRPr="00295736" w:rsidRDefault="00295736" w:rsidP="00295736">
            <w:pPr>
              <w:spacing w:before="0" w:after="0"/>
              <w:rPr>
                <w:rFonts w:ascii="Calibri" w:hAnsi="Calibri"/>
                <w:color w:val="000000"/>
                <w:sz w:val="20"/>
                <w:szCs w:val="20"/>
              </w:rPr>
            </w:pPr>
            <w:r w:rsidRPr="00295736">
              <w:rPr>
                <w:rFonts w:ascii="Calibri" w:hAnsi="Calibri"/>
                <w:color w:val="000000"/>
                <w:sz w:val="20"/>
                <w:szCs w:val="20"/>
              </w:rPr>
              <w:t> </w:t>
            </w:r>
          </w:p>
        </w:tc>
      </w:tr>
      <w:tr w:rsidR="002072C2" w:rsidRPr="00295736" w14:paraId="76CD972B" w14:textId="77777777" w:rsidTr="005A35A1">
        <w:trPr>
          <w:trHeight w:val="315"/>
        </w:trPr>
        <w:tc>
          <w:tcPr>
            <w:tcW w:w="2308" w:type="dxa"/>
            <w:tcBorders>
              <w:top w:val="nil"/>
              <w:left w:val="single" w:sz="8" w:space="0" w:color="auto"/>
              <w:bottom w:val="single" w:sz="8" w:space="0" w:color="auto"/>
              <w:right w:val="single" w:sz="8" w:space="0" w:color="auto"/>
            </w:tcBorders>
            <w:shd w:val="clear" w:color="auto" w:fill="auto"/>
            <w:noWrap/>
            <w:vAlign w:val="bottom"/>
            <w:hideMark/>
          </w:tcPr>
          <w:p w14:paraId="281D8792" w14:textId="77777777" w:rsidR="00295736" w:rsidRPr="00295736" w:rsidRDefault="00295736" w:rsidP="00295736">
            <w:pPr>
              <w:spacing w:before="0" w:after="0"/>
              <w:jc w:val="right"/>
              <w:rPr>
                <w:rFonts w:ascii="Calibri" w:hAnsi="Calibri"/>
                <w:b/>
                <w:bCs/>
                <w:color w:val="000000"/>
                <w:sz w:val="20"/>
                <w:szCs w:val="20"/>
              </w:rPr>
            </w:pPr>
            <w:r w:rsidRPr="00295736">
              <w:rPr>
                <w:rFonts w:ascii="Calibri" w:hAnsi="Calibri"/>
                <w:b/>
                <w:bCs/>
                <w:color w:val="000000"/>
                <w:sz w:val="20"/>
                <w:szCs w:val="20"/>
              </w:rPr>
              <w:t>FAMILY</w:t>
            </w:r>
          </w:p>
        </w:tc>
        <w:tc>
          <w:tcPr>
            <w:tcW w:w="1009" w:type="dxa"/>
            <w:tcBorders>
              <w:top w:val="nil"/>
              <w:left w:val="nil"/>
              <w:bottom w:val="single" w:sz="8" w:space="0" w:color="auto"/>
              <w:right w:val="nil"/>
            </w:tcBorders>
            <w:shd w:val="clear" w:color="auto" w:fill="auto"/>
            <w:noWrap/>
            <w:vAlign w:val="bottom"/>
            <w:hideMark/>
          </w:tcPr>
          <w:p w14:paraId="0FE6A7D6"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36</w:t>
            </w:r>
          </w:p>
        </w:tc>
        <w:tc>
          <w:tcPr>
            <w:tcW w:w="1014" w:type="dxa"/>
            <w:tcBorders>
              <w:top w:val="nil"/>
              <w:left w:val="single" w:sz="4" w:space="0" w:color="auto"/>
              <w:bottom w:val="single" w:sz="8" w:space="0" w:color="auto"/>
              <w:right w:val="single" w:sz="8" w:space="0" w:color="auto"/>
            </w:tcBorders>
            <w:shd w:val="clear" w:color="auto" w:fill="auto"/>
            <w:noWrap/>
            <w:vAlign w:val="bottom"/>
            <w:hideMark/>
          </w:tcPr>
          <w:p w14:paraId="1EC16E46"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122</w:t>
            </w:r>
          </w:p>
        </w:tc>
        <w:tc>
          <w:tcPr>
            <w:tcW w:w="1009" w:type="dxa"/>
            <w:tcBorders>
              <w:top w:val="nil"/>
              <w:left w:val="nil"/>
              <w:bottom w:val="single" w:sz="8" w:space="0" w:color="auto"/>
              <w:right w:val="nil"/>
            </w:tcBorders>
            <w:shd w:val="clear" w:color="auto" w:fill="auto"/>
            <w:noWrap/>
            <w:vAlign w:val="bottom"/>
            <w:hideMark/>
          </w:tcPr>
          <w:p w14:paraId="7DB02960"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13</w:t>
            </w:r>
          </w:p>
        </w:tc>
        <w:tc>
          <w:tcPr>
            <w:tcW w:w="1014" w:type="dxa"/>
            <w:tcBorders>
              <w:top w:val="nil"/>
              <w:left w:val="single" w:sz="4" w:space="0" w:color="auto"/>
              <w:bottom w:val="single" w:sz="8" w:space="0" w:color="auto"/>
              <w:right w:val="single" w:sz="8" w:space="0" w:color="auto"/>
            </w:tcBorders>
            <w:shd w:val="clear" w:color="auto" w:fill="auto"/>
            <w:noWrap/>
            <w:vAlign w:val="bottom"/>
            <w:hideMark/>
          </w:tcPr>
          <w:p w14:paraId="6A303FAF"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48</w:t>
            </w:r>
          </w:p>
        </w:tc>
        <w:tc>
          <w:tcPr>
            <w:tcW w:w="1009" w:type="dxa"/>
            <w:tcBorders>
              <w:top w:val="nil"/>
              <w:left w:val="nil"/>
              <w:bottom w:val="single" w:sz="8" w:space="0" w:color="auto"/>
              <w:right w:val="nil"/>
            </w:tcBorders>
            <w:shd w:val="clear" w:color="auto" w:fill="auto"/>
            <w:noWrap/>
            <w:vAlign w:val="bottom"/>
            <w:hideMark/>
          </w:tcPr>
          <w:p w14:paraId="5808077F" w14:textId="77777777" w:rsidR="00295736" w:rsidRPr="00295736" w:rsidRDefault="00295736" w:rsidP="00295736">
            <w:pPr>
              <w:spacing w:before="0" w:after="0"/>
              <w:rPr>
                <w:rFonts w:ascii="Calibri" w:hAnsi="Calibri"/>
                <w:color w:val="000000"/>
                <w:sz w:val="20"/>
                <w:szCs w:val="20"/>
              </w:rPr>
            </w:pPr>
            <w:r w:rsidRPr="00295736">
              <w:rPr>
                <w:rFonts w:ascii="Calibri" w:hAnsi="Calibri"/>
                <w:color w:val="000000"/>
                <w:sz w:val="20"/>
                <w:szCs w:val="20"/>
              </w:rPr>
              <w:t> </w:t>
            </w:r>
          </w:p>
        </w:tc>
        <w:tc>
          <w:tcPr>
            <w:tcW w:w="1014" w:type="dxa"/>
            <w:tcBorders>
              <w:top w:val="nil"/>
              <w:left w:val="single" w:sz="4" w:space="0" w:color="auto"/>
              <w:bottom w:val="single" w:sz="8" w:space="0" w:color="auto"/>
              <w:right w:val="single" w:sz="8" w:space="0" w:color="auto"/>
            </w:tcBorders>
            <w:shd w:val="clear" w:color="auto" w:fill="auto"/>
            <w:noWrap/>
            <w:vAlign w:val="bottom"/>
            <w:hideMark/>
          </w:tcPr>
          <w:p w14:paraId="471474B1" w14:textId="77777777" w:rsidR="00295736" w:rsidRPr="00295736" w:rsidRDefault="00295736" w:rsidP="00295736">
            <w:pPr>
              <w:spacing w:before="0" w:after="0"/>
              <w:rPr>
                <w:rFonts w:ascii="Calibri" w:hAnsi="Calibri"/>
                <w:color w:val="000000"/>
                <w:sz w:val="20"/>
                <w:szCs w:val="20"/>
              </w:rPr>
            </w:pPr>
            <w:r w:rsidRPr="00295736">
              <w:rPr>
                <w:rFonts w:ascii="Calibri" w:hAnsi="Calibri"/>
                <w:color w:val="000000"/>
                <w:sz w:val="20"/>
                <w:szCs w:val="20"/>
              </w:rPr>
              <w:t> </w:t>
            </w:r>
          </w:p>
        </w:tc>
      </w:tr>
      <w:tr w:rsidR="002072C2" w:rsidRPr="00295736" w14:paraId="05793FB8" w14:textId="77777777" w:rsidTr="005A35A1">
        <w:trPr>
          <w:trHeight w:val="300"/>
        </w:trPr>
        <w:tc>
          <w:tcPr>
            <w:tcW w:w="2308" w:type="dxa"/>
            <w:tcBorders>
              <w:top w:val="nil"/>
              <w:left w:val="single" w:sz="8" w:space="0" w:color="auto"/>
              <w:bottom w:val="single" w:sz="4" w:space="0" w:color="auto"/>
              <w:right w:val="single" w:sz="8" w:space="0" w:color="auto"/>
            </w:tcBorders>
            <w:shd w:val="clear" w:color="000000" w:fill="95B3D7"/>
            <w:noWrap/>
            <w:vAlign w:val="bottom"/>
            <w:hideMark/>
          </w:tcPr>
          <w:p w14:paraId="482D49E7" w14:textId="77777777" w:rsidR="00295736" w:rsidRPr="00295736" w:rsidRDefault="00295736" w:rsidP="00295736">
            <w:pPr>
              <w:spacing w:before="0" w:after="0"/>
              <w:rPr>
                <w:rFonts w:ascii="Calibri" w:hAnsi="Calibri"/>
                <w:b/>
                <w:bCs/>
                <w:color w:val="000000"/>
                <w:sz w:val="20"/>
                <w:szCs w:val="20"/>
              </w:rPr>
            </w:pPr>
            <w:r w:rsidRPr="00295736">
              <w:rPr>
                <w:rFonts w:ascii="Calibri" w:hAnsi="Calibri"/>
                <w:b/>
                <w:bCs/>
                <w:color w:val="000000"/>
                <w:sz w:val="20"/>
                <w:szCs w:val="20"/>
              </w:rPr>
              <w:t>GRADUATE ASSISTANT</w:t>
            </w:r>
          </w:p>
        </w:tc>
        <w:tc>
          <w:tcPr>
            <w:tcW w:w="1009" w:type="dxa"/>
            <w:tcBorders>
              <w:top w:val="nil"/>
              <w:left w:val="nil"/>
              <w:bottom w:val="single" w:sz="4" w:space="0" w:color="auto"/>
              <w:right w:val="nil"/>
            </w:tcBorders>
            <w:shd w:val="clear" w:color="000000" w:fill="DA9694"/>
            <w:noWrap/>
            <w:vAlign w:val="center"/>
            <w:hideMark/>
          </w:tcPr>
          <w:p w14:paraId="0C78F15F"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7,503</w:t>
            </w:r>
          </w:p>
        </w:tc>
        <w:tc>
          <w:tcPr>
            <w:tcW w:w="1014" w:type="dxa"/>
            <w:tcBorders>
              <w:top w:val="nil"/>
              <w:left w:val="single" w:sz="4" w:space="0" w:color="auto"/>
              <w:bottom w:val="single" w:sz="4" w:space="0" w:color="auto"/>
              <w:right w:val="single" w:sz="8" w:space="0" w:color="auto"/>
            </w:tcBorders>
            <w:shd w:val="clear" w:color="000000" w:fill="DA9694"/>
            <w:noWrap/>
            <w:vAlign w:val="center"/>
            <w:hideMark/>
          </w:tcPr>
          <w:p w14:paraId="16D083CF"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10,611</w:t>
            </w:r>
          </w:p>
        </w:tc>
        <w:tc>
          <w:tcPr>
            <w:tcW w:w="1009" w:type="dxa"/>
            <w:tcBorders>
              <w:top w:val="nil"/>
              <w:left w:val="nil"/>
              <w:bottom w:val="single" w:sz="4" w:space="0" w:color="auto"/>
              <w:right w:val="single" w:sz="4" w:space="0" w:color="auto"/>
            </w:tcBorders>
            <w:shd w:val="clear" w:color="000000" w:fill="000000"/>
            <w:noWrap/>
            <w:vAlign w:val="center"/>
            <w:hideMark/>
          </w:tcPr>
          <w:p w14:paraId="585D5BD0"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 </w:t>
            </w:r>
          </w:p>
        </w:tc>
        <w:tc>
          <w:tcPr>
            <w:tcW w:w="1014" w:type="dxa"/>
            <w:tcBorders>
              <w:top w:val="nil"/>
              <w:left w:val="nil"/>
              <w:bottom w:val="single" w:sz="4" w:space="0" w:color="auto"/>
              <w:right w:val="single" w:sz="8" w:space="0" w:color="auto"/>
            </w:tcBorders>
            <w:shd w:val="clear" w:color="000000" w:fill="000000"/>
            <w:noWrap/>
            <w:vAlign w:val="center"/>
            <w:hideMark/>
          </w:tcPr>
          <w:p w14:paraId="10981C92"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 </w:t>
            </w:r>
          </w:p>
        </w:tc>
        <w:tc>
          <w:tcPr>
            <w:tcW w:w="1009" w:type="dxa"/>
            <w:tcBorders>
              <w:top w:val="nil"/>
              <w:left w:val="nil"/>
              <w:bottom w:val="single" w:sz="4" w:space="0" w:color="auto"/>
              <w:right w:val="nil"/>
            </w:tcBorders>
            <w:shd w:val="clear" w:color="000000" w:fill="BFBFBF"/>
            <w:noWrap/>
            <w:vAlign w:val="center"/>
            <w:hideMark/>
          </w:tcPr>
          <w:p w14:paraId="368CD6FF"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7,503</w:t>
            </w:r>
          </w:p>
        </w:tc>
        <w:tc>
          <w:tcPr>
            <w:tcW w:w="1014" w:type="dxa"/>
            <w:tcBorders>
              <w:top w:val="nil"/>
              <w:left w:val="single" w:sz="4" w:space="0" w:color="auto"/>
              <w:bottom w:val="single" w:sz="4" w:space="0" w:color="auto"/>
              <w:right w:val="single" w:sz="8" w:space="0" w:color="auto"/>
            </w:tcBorders>
            <w:shd w:val="clear" w:color="000000" w:fill="BFBFBF"/>
            <w:noWrap/>
            <w:vAlign w:val="center"/>
            <w:hideMark/>
          </w:tcPr>
          <w:p w14:paraId="5420B2D4"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10,611</w:t>
            </w:r>
          </w:p>
        </w:tc>
      </w:tr>
      <w:tr w:rsidR="002072C2" w:rsidRPr="00295736" w14:paraId="74F42B18" w14:textId="77777777" w:rsidTr="005A35A1">
        <w:trPr>
          <w:trHeight w:val="300"/>
        </w:trPr>
        <w:tc>
          <w:tcPr>
            <w:tcW w:w="2308" w:type="dxa"/>
            <w:tcBorders>
              <w:top w:val="nil"/>
              <w:left w:val="single" w:sz="8" w:space="0" w:color="auto"/>
              <w:bottom w:val="single" w:sz="4" w:space="0" w:color="auto"/>
              <w:right w:val="single" w:sz="8" w:space="0" w:color="auto"/>
            </w:tcBorders>
            <w:shd w:val="clear" w:color="auto" w:fill="auto"/>
            <w:noWrap/>
            <w:vAlign w:val="bottom"/>
            <w:hideMark/>
          </w:tcPr>
          <w:p w14:paraId="178E1B03" w14:textId="77777777" w:rsidR="00295736" w:rsidRPr="00295736" w:rsidRDefault="00295736" w:rsidP="00295736">
            <w:pPr>
              <w:spacing w:before="0" w:after="0"/>
              <w:jc w:val="right"/>
              <w:rPr>
                <w:rFonts w:ascii="Calibri" w:hAnsi="Calibri"/>
                <w:b/>
                <w:bCs/>
                <w:color w:val="000000"/>
                <w:sz w:val="20"/>
                <w:szCs w:val="20"/>
              </w:rPr>
            </w:pPr>
            <w:r w:rsidRPr="00295736">
              <w:rPr>
                <w:rFonts w:ascii="Calibri" w:hAnsi="Calibri"/>
                <w:b/>
                <w:bCs/>
                <w:color w:val="000000"/>
                <w:sz w:val="20"/>
                <w:szCs w:val="20"/>
              </w:rPr>
              <w:t>SINGLE</w:t>
            </w:r>
          </w:p>
        </w:tc>
        <w:tc>
          <w:tcPr>
            <w:tcW w:w="1009" w:type="dxa"/>
            <w:tcBorders>
              <w:top w:val="nil"/>
              <w:left w:val="nil"/>
              <w:bottom w:val="single" w:sz="4" w:space="0" w:color="auto"/>
              <w:right w:val="nil"/>
            </w:tcBorders>
            <w:shd w:val="clear" w:color="auto" w:fill="auto"/>
            <w:noWrap/>
            <w:vAlign w:val="bottom"/>
            <w:hideMark/>
          </w:tcPr>
          <w:p w14:paraId="41AEF92A"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5,725</w:t>
            </w: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70998723"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5,725</w:t>
            </w:r>
          </w:p>
        </w:tc>
        <w:tc>
          <w:tcPr>
            <w:tcW w:w="1009" w:type="dxa"/>
            <w:tcBorders>
              <w:top w:val="nil"/>
              <w:left w:val="nil"/>
              <w:bottom w:val="single" w:sz="4" w:space="0" w:color="auto"/>
              <w:right w:val="single" w:sz="4" w:space="0" w:color="auto"/>
            </w:tcBorders>
            <w:shd w:val="clear" w:color="auto" w:fill="auto"/>
            <w:noWrap/>
            <w:vAlign w:val="bottom"/>
            <w:hideMark/>
          </w:tcPr>
          <w:p w14:paraId="4CE24379" w14:textId="77777777" w:rsidR="00295736" w:rsidRPr="00295736" w:rsidRDefault="00295736" w:rsidP="00295736">
            <w:pPr>
              <w:spacing w:before="0" w:after="0"/>
              <w:rPr>
                <w:rFonts w:ascii="Calibri" w:hAnsi="Calibri"/>
                <w:color w:val="000000"/>
                <w:sz w:val="20"/>
                <w:szCs w:val="20"/>
              </w:rPr>
            </w:pPr>
            <w:r w:rsidRPr="00295736">
              <w:rPr>
                <w:rFonts w:ascii="Calibri" w:hAnsi="Calibri"/>
                <w:color w:val="000000"/>
                <w:sz w:val="20"/>
                <w:szCs w:val="20"/>
              </w:rPr>
              <w:t> </w:t>
            </w:r>
          </w:p>
        </w:tc>
        <w:tc>
          <w:tcPr>
            <w:tcW w:w="1014" w:type="dxa"/>
            <w:tcBorders>
              <w:top w:val="nil"/>
              <w:left w:val="nil"/>
              <w:bottom w:val="single" w:sz="4" w:space="0" w:color="auto"/>
              <w:right w:val="single" w:sz="8" w:space="0" w:color="auto"/>
            </w:tcBorders>
            <w:shd w:val="clear" w:color="auto" w:fill="auto"/>
            <w:noWrap/>
            <w:vAlign w:val="bottom"/>
            <w:hideMark/>
          </w:tcPr>
          <w:p w14:paraId="1F43593E" w14:textId="77777777" w:rsidR="00295736" w:rsidRPr="00295736" w:rsidRDefault="00295736" w:rsidP="00295736">
            <w:pPr>
              <w:spacing w:before="0" w:after="0"/>
              <w:rPr>
                <w:rFonts w:ascii="Calibri" w:hAnsi="Calibri"/>
                <w:color w:val="000000"/>
                <w:sz w:val="20"/>
                <w:szCs w:val="20"/>
              </w:rPr>
            </w:pPr>
            <w:r w:rsidRPr="00295736">
              <w:rPr>
                <w:rFonts w:ascii="Calibri" w:hAnsi="Calibri"/>
                <w:color w:val="000000"/>
                <w:sz w:val="20"/>
                <w:szCs w:val="20"/>
              </w:rPr>
              <w:t> </w:t>
            </w:r>
          </w:p>
        </w:tc>
        <w:tc>
          <w:tcPr>
            <w:tcW w:w="1009" w:type="dxa"/>
            <w:tcBorders>
              <w:top w:val="nil"/>
              <w:left w:val="nil"/>
              <w:bottom w:val="single" w:sz="4" w:space="0" w:color="auto"/>
              <w:right w:val="nil"/>
            </w:tcBorders>
            <w:shd w:val="clear" w:color="auto" w:fill="auto"/>
            <w:noWrap/>
            <w:vAlign w:val="bottom"/>
            <w:hideMark/>
          </w:tcPr>
          <w:p w14:paraId="75C362A8" w14:textId="77777777" w:rsidR="00295736" w:rsidRPr="00295736" w:rsidRDefault="00295736" w:rsidP="00295736">
            <w:pPr>
              <w:spacing w:before="0" w:after="0"/>
              <w:rPr>
                <w:rFonts w:ascii="Calibri" w:hAnsi="Calibri"/>
                <w:color w:val="000000"/>
                <w:sz w:val="20"/>
                <w:szCs w:val="20"/>
              </w:rPr>
            </w:pPr>
            <w:r w:rsidRPr="00295736">
              <w:rPr>
                <w:rFonts w:ascii="Calibri" w:hAnsi="Calibri"/>
                <w:color w:val="000000"/>
                <w:sz w:val="20"/>
                <w:szCs w:val="20"/>
              </w:rPr>
              <w:t> </w:t>
            </w:r>
          </w:p>
        </w:tc>
        <w:tc>
          <w:tcPr>
            <w:tcW w:w="1014" w:type="dxa"/>
            <w:tcBorders>
              <w:top w:val="nil"/>
              <w:left w:val="single" w:sz="4" w:space="0" w:color="auto"/>
              <w:bottom w:val="single" w:sz="4" w:space="0" w:color="auto"/>
              <w:right w:val="single" w:sz="8" w:space="0" w:color="auto"/>
            </w:tcBorders>
            <w:shd w:val="clear" w:color="auto" w:fill="auto"/>
            <w:noWrap/>
            <w:vAlign w:val="bottom"/>
            <w:hideMark/>
          </w:tcPr>
          <w:p w14:paraId="63ACBDA4" w14:textId="77777777" w:rsidR="00295736" w:rsidRPr="00295736" w:rsidRDefault="00295736" w:rsidP="00295736">
            <w:pPr>
              <w:spacing w:before="0" w:after="0"/>
              <w:rPr>
                <w:rFonts w:ascii="Calibri" w:hAnsi="Calibri"/>
                <w:color w:val="000000"/>
                <w:sz w:val="20"/>
                <w:szCs w:val="20"/>
              </w:rPr>
            </w:pPr>
            <w:r w:rsidRPr="00295736">
              <w:rPr>
                <w:rFonts w:ascii="Calibri" w:hAnsi="Calibri"/>
                <w:color w:val="000000"/>
                <w:sz w:val="20"/>
                <w:szCs w:val="20"/>
              </w:rPr>
              <w:t> </w:t>
            </w:r>
          </w:p>
        </w:tc>
      </w:tr>
      <w:tr w:rsidR="002072C2" w:rsidRPr="00295736" w14:paraId="68FB663A" w14:textId="77777777" w:rsidTr="005A35A1">
        <w:trPr>
          <w:trHeight w:val="315"/>
        </w:trPr>
        <w:tc>
          <w:tcPr>
            <w:tcW w:w="2308" w:type="dxa"/>
            <w:tcBorders>
              <w:top w:val="nil"/>
              <w:left w:val="single" w:sz="8" w:space="0" w:color="auto"/>
              <w:bottom w:val="single" w:sz="8" w:space="0" w:color="auto"/>
              <w:right w:val="single" w:sz="8" w:space="0" w:color="auto"/>
            </w:tcBorders>
            <w:shd w:val="clear" w:color="auto" w:fill="auto"/>
            <w:noWrap/>
            <w:vAlign w:val="bottom"/>
            <w:hideMark/>
          </w:tcPr>
          <w:p w14:paraId="562634D9" w14:textId="77777777" w:rsidR="00295736" w:rsidRPr="00295736" w:rsidRDefault="00295736" w:rsidP="00295736">
            <w:pPr>
              <w:spacing w:before="0" w:after="0"/>
              <w:jc w:val="right"/>
              <w:rPr>
                <w:rFonts w:ascii="Calibri" w:hAnsi="Calibri"/>
                <w:b/>
                <w:bCs/>
                <w:color w:val="000000"/>
                <w:sz w:val="20"/>
                <w:szCs w:val="20"/>
              </w:rPr>
            </w:pPr>
            <w:r w:rsidRPr="00295736">
              <w:rPr>
                <w:rFonts w:ascii="Calibri" w:hAnsi="Calibri"/>
                <w:b/>
                <w:bCs/>
                <w:color w:val="000000"/>
                <w:sz w:val="20"/>
                <w:szCs w:val="20"/>
              </w:rPr>
              <w:t>FAMILY</w:t>
            </w:r>
          </w:p>
        </w:tc>
        <w:tc>
          <w:tcPr>
            <w:tcW w:w="1009" w:type="dxa"/>
            <w:tcBorders>
              <w:top w:val="nil"/>
              <w:left w:val="nil"/>
              <w:bottom w:val="single" w:sz="8" w:space="0" w:color="auto"/>
              <w:right w:val="nil"/>
            </w:tcBorders>
            <w:shd w:val="clear" w:color="auto" w:fill="auto"/>
            <w:noWrap/>
            <w:vAlign w:val="bottom"/>
            <w:hideMark/>
          </w:tcPr>
          <w:p w14:paraId="12C64FDD"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1,778</w:t>
            </w:r>
          </w:p>
        </w:tc>
        <w:tc>
          <w:tcPr>
            <w:tcW w:w="1014" w:type="dxa"/>
            <w:tcBorders>
              <w:top w:val="nil"/>
              <w:left w:val="single" w:sz="4" w:space="0" w:color="auto"/>
              <w:bottom w:val="single" w:sz="8" w:space="0" w:color="auto"/>
              <w:right w:val="single" w:sz="8" w:space="0" w:color="auto"/>
            </w:tcBorders>
            <w:shd w:val="clear" w:color="auto" w:fill="auto"/>
            <w:noWrap/>
            <w:vAlign w:val="bottom"/>
            <w:hideMark/>
          </w:tcPr>
          <w:p w14:paraId="5CF27B65" w14:textId="77777777" w:rsidR="00295736" w:rsidRPr="00295736" w:rsidRDefault="00295736" w:rsidP="00295736">
            <w:pPr>
              <w:spacing w:before="0" w:after="0"/>
              <w:jc w:val="right"/>
              <w:rPr>
                <w:rFonts w:ascii="Calibri" w:hAnsi="Calibri"/>
                <w:color w:val="000000"/>
                <w:sz w:val="20"/>
                <w:szCs w:val="20"/>
              </w:rPr>
            </w:pPr>
            <w:r w:rsidRPr="00295736">
              <w:rPr>
                <w:rFonts w:ascii="Calibri" w:hAnsi="Calibri"/>
                <w:color w:val="000000"/>
                <w:sz w:val="20"/>
                <w:szCs w:val="20"/>
              </w:rPr>
              <w:t>4,886</w:t>
            </w:r>
          </w:p>
        </w:tc>
        <w:tc>
          <w:tcPr>
            <w:tcW w:w="1009" w:type="dxa"/>
            <w:tcBorders>
              <w:top w:val="nil"/>
              <w:left w:val="nil"/>
              <w:bottom w:val="single" w:sz="8" w:space="0" w:color="auto"/>
              <w:right w:val="single" w:sz="4" w:space="0" w:color="auto"/>
            </w:tcBorders>
            <w:shd w:val="clear" w:color="auto" w:fill="auto"/>
            <w:noWrap/>
            <w:vAlign w:val="bottom"/>
            <w:hideMark/>
          </w:tcPr>
          <w:p w14:paraId="5D74AEAD" w14:textId="77777777" w:rsidR="00295736" w:rsidRPr="00295736" w:rsidRDefault="00295736" w:rsidP="00295736">
            <w:pPr>
              <w:spacing w:before="0" w:after="0"/>
              <w:rPr>
                <w:rFonts w:ascii="Calibri" w:hAnsi="Calibri"/>
                <w:color w:val="000000"/>
                <w:sz w:val="20"/>
                <w:szCs w:val="20"/>
              </w:rPr>
            </w:pPr>
            <w:r w:rsidRPr="00295736">
              <w:rPr>
                <w:rFonts w:ascii="Calibri" w:hAnsi="Calibri"/>
                <w:color w:val="000000"/>
                <w:sz w:val="20"/>
                <w:szCs w:val="20"/>
              </w:rPr>
              <w:t> </w:t>
            </w:r>
          </w:p>
        </w:tc>
        <w:tc>
          <w:tcPr>
            <w:tcW w:w="1014" w:type="dxa"/>
            <w:tcBorders>
              <w:top w:val="nil"/>
              <w:left w:val="nil"/>
              <w:bottom w:val="single" w:sz="8" w:space="0" w:color="auto"/>
              <w:right w:val="single" w:sz="8" w:space="0" w:color="auto"/>
            </w:tcBorders>
            <w:shd w:val="clear" w:color="auto" w:fill="auto"/>
            <w:noWrap/>
            <w:vAlign w:val="bottom"/>
            <w:hideMark/>
          </w:tcPr>
          <w:p w14:paraId="605E0CA5" w14:textId="77777777" w:rsidR="00295736" w:rsidRPr="00295736" w:rsidRDefault="00295736" w:rsidP="00295736">
            <w:pPr>
              <w:spacing w:before="0" w:after="0"/>
              <w:rPr>
                <w:rFonts w:ascii="Calibri" w:hAnsi="Calibri"/>
                <w:color w:val="000000"/>
                <w:sz w:val="20"/>
                <w:szCs w:val="20"/>
              </w:rPr>
            </w:pPr>
            <w:r w:rsidRPr="00295736">
              <w:rPr>
                <w:rFonts w:ascii="Calibri" w:hAnsi="Calibri"/>
                <w:color w:val="000000"/>
                <w:sz w:val="20"/>
                <w:szCs w:val="20"/>
              </w:rPr>
              <w:t> </w:t>
            </w:r>
          </w:p>
        </w:tc>
        <w:tc>
          <w:tcPr>
            <w:tcW w:w="1009" w:type="dxa"/>
            <w:tcBorders>
              <w:top w:val="nil"/>
              <w:left w:val="nil"/>
              <w:bottom w:val="single" w:sz="8" w:space="0" w:color="auto"/>
              <w:right w:val="nil"/>
            </w:tcBorders>
            <w:shd w:val="clear" w:color="auto" w:fill="auto"/>
            <w:noWrap/>
            <w:vAlign w:val="bottom"/>
            <w:hideMark/>
          </w:tcPr>
          <w:p w14:paraId="13180211" w14:textId="77777777" w:rsidR="00295736" w:rsidRPr="00295736" w:rsidRDefault="00295736" w:rsidP="00295736">
            <w:pPr>
              <w:spacing w:before="0" w:after="0"/>
              <w:rPr>
                <w:rFonts w:ascii="Calibri" w:hAnsi="Calibri"/>
                <w:color w:val="000000"/>
                <w:sz w:val="20"/>
                <w:szCs w:val="20"/>
              </w:rPr>
            </w:pPr>
            <w:r w:rsidRPr="00295736">
              <w:rPr>
                <w:rFonts w:ascii="Calibri" w:hAnsi="Calibri"/>
                <w:color w:val="000000"/>
                <w:sz w:val="20"/>
                <w:szCs w:val="20"/>
              </w:rPr>
              <w:t> </w:t>
            </w:r>
          </w:p>
        </w:tc>
        <w:tc>
          <w:tcPr>
            <w:tcW w:w="1014" w:type="dxa"/>
            <w:tcBorders>
              <w:top w:val="nil"/>
              <w:left w:val="single" w:sz="4" w:space="0" w:color="auto"/>
              <w:bottom w:val="single" w:sz="8" w:space="0" w:color="auto"/>
              <w:right w:val="single" w:sz="8" w:space="0" w:color="auto"/>
            </w:tcBorders>
            <w:shd w:val="clear" w:color="auto" w:fill="auto"/>
            <w:noWrap/>
            <w:vAlign w:val="bottom"/>
            <w:hideMark/>
          </w:tcPr>
          <w:p w14:paraId="1B13FDC6" w14:textId="77777777" w:rsidR="00295736" w:rsidRPr="00295736" w:rsidRDefault="00295736" w:rsidP="00295736">
            <w:pPr>
              <w:spacing w:before="0" w:after="0"/>
              <w:rPr>
                <w:rFonts w:ascii="Calibri" w:hAnsi="Calibri"/>
                <w:color w:val="000000"/>
                <w:sz w:val="20"/>
                <w:szCs w:val="20"/>
              </w:rPr>
            </w:pPr>
            <w:r w:rsidRPr="00295736">
              <w:rPr>
                <w:rFonts w:ascii="Calibri" w:hAnsi="Calibri"/>
                <w:color w:val="000000"/>
                <w:sz w:val="20"/>
                <w:szCs w:val="20"/>
              </w:rPr>
              <w:t> </w:t>
            </w:r>
          </w:p>
        </w:tc>
      </w:tr>
      <w:tr w:rsidR="002072C2" w:rsidRPr="00295736" w14:paraId="1DC05185" w14:textId="77777777" w:rsidTr="005A35A1">
        <w:trPr>
          <w:trHeight w:val="315"/>
        </w:trPr>
        <w:tc>
          <w:tcPr>
            <w:tcW w:w="2308" w:type="dxa"/>
            <w:tcBorders>
              <w:top w:val="nil"/>
              <w:left w:val="single" w:sz="8" w:space="0" w:color="auto"/>
              <w:bottom w:val="single" w:sz="8" w:space="0" w:color="auto"/>
              <w:right w:val="single" w:sz="8" w:space="0" w:color="auto"/>
            </w:tcBorders>
            <w:shd w:val="clear" w:color="000000" w:fill="BFBFBF"/>
            <w:noWrap/>
            <w:vAlign w:val="bottom"/>
            <w:hideMark/>
          </w:tcPr>
          <w:p w14:paraId="0F8D9BFC" w14:textId="77777777" w:rsidR="00295736" w:rsidRPr="00295736" w:rsidRDefault="00295736" w:rsidP="00295736">
            <w:pPr>
              <w:spacing w:before="0" w:after="0"/>
              <w:rPr>
                <w:rFonts w:ascii="Calibri" w:hAnsi="Calibri"/>
                <w:b/>
                <w:bCs/>
                <w:color w:val="000000"/>
                <w:sz w:val="20"/>
                <w:szCs w:val="20"/>
              </w:rPr>
            </w:pPr>
            <w:r w:rsidRPr="00295736">
              <w:rPr>
                <w:rFonts w:ascii="Calibri" w:hAnsi="Calibri"/>
                <w:b/>
                <w:bCs/>
                <w:color w:val="000000"/>
                <w:sz w:val="20"/>
                <w:szCs w:val="20"/>
              </w:rPr>
              <w:t>Grand Total</w:t>
            </w:r>
          </w:p>
        </w:tc>
        <w:tc>
          <w:tcPr>
            <w:tcW w:w="1009" w:type="dxa"/>
            <w:tcBorders>
              <w:top w:val="nil"/>
              <w:left w:val="nil"/>
              <w:bottom w:val="single" w:sz="8" w:space="0" w:color="auto"/>
              <w:right w:val="nil"/>
            </w:tcBorders>
            <w:shd w:val="clear" w:color="000000" w:fill="BFBFBF"/>
            <w:noWrap/>
            <w:vAlign w:val="center"/>
            <w:hideMark/>
          </w:tcPr>
          <w:p w14:paraId="46A5CF04"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95,492</w:t>
            </w:r>
          </w:p>
        </w:tc>
        <w:tc>
          <w:tcPr>
            <w:tcW w:w="1014" w:type="dxa"/>
            <w:tcBorders>
              <w:top w:val="nil"/>
              <w:left w:val="single" w:sz="4" w:space="0" w:color="auto"/>
              <w:bottom w:val="single" w:sz="8" w:space="0" w:color="auto"/>
              <w:right w:val="single" w:sz="8" w:space="0" w:color="auto"/>
            </w:tcBorders>
            <w:shd w:val="clear" w:color="000000" w:fill="BFBFBF"/>
            <w:noWrap/>
            <w:vAlign w:val="center"/>
            <w:hideMark/>
          </w:tcPr>
          <w:p w14:paraId="62039655"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206,896</w:t>
            </w:r>
          </w:p>
        </w:tc>
        <w:tc>
          <w:tcPr>
            <w:tcW w:w="1009" w:type="dxa"/>
            <w:tcBorders>
              <w:top w:val="nil"/>
              <w:left w:val="nil"/>
              <w:bottom w:val="single" w:sz="8" w:space="0" w:color="auto"/>
              <w:right w:val="nil"/>
            </w:tcBorders>
            <w:shd w:val="clear" w:color="000000" w:fill="BFBFBF"/>
            <w:noWrap/>
            <w:vAlign w:val="center"/>
            <w:hideMark/>
          </w:tcPr>
          <w:p w14:paraId="3EAB1877"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15,077</w:t>
            </w:r>
          </w:p>
        </w:tc>
        <w:tc>
          <w:tcPr>
            <w:tcW w:w="1014" w:type="dxa"/>
            <w:tcBorders>
              <w:top w:val="nil"/>
              <w:left w:val="single" w:sz="4" w:space="0" w:color="auto"/>
              <w:bottom w:val="single" w:sz="8" w:space="0" w:color="auto"/>
              <w:right w:val="single" w:sz="8" w:space="0" w:color="auto"/>
            </w:tcBorders>
            <w:shd w:val="clear" w:color="000000" w:fill="BFBFBF"/>
            <w:noWrap/>
            <w:vAlign w:val="center"/>
            <w:hideMark/>
          </w:tcPr>
          <w:p w14:paraId="44D6620D"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39,415</w:t>
            </w:r>
          </w:p>
        </w:tc>
        <w:tc>
          <w:tcPr>
            <w:tcW w:w="1009" w:type="dxa"/>
            <w:tcBorders>
              <w:top w:val="nil"/>
              <w:left w:val="nil"/>
              <w:bottom w:val="single" w:sz="8" w:space="0" w:color="auto"/>
              <w:right w:val="nil"/>
            </w:tcBorders>
            <w:shd w:val="clear" w:color="000000" w:fill="BFBFBF"/>
            <w:noWrap/>
            <w:vAlign w:val="center"/>
            <w:hideMark/>
          </w:tcPr>
          <w:p w14:paraId="6F7C57E0"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110,569</w:t>
            </w:r>
          </w:p>
        </w:tc>
        <w:tc>
          <w:tcPr>
            <w:tcW w:w="1014" w:type="dxa"/>
            <w:tcBorders>
              <w:top w:val="nil"/>
              <w:left w:val="single" w:sz="4" w:space="0" w:color="auto"/>
              <w:bottom w:val="single" w:sz="8" w:space="0" w:color="auto"/>
              <w:right w:val="single" w:sz="8" w:space="0" w:color="auto"/>
            </w:tcBorders>
            <w:shd w:val="clear" w:color="000000" w:fill="BFBFBF"/>
            <w:noWrap/>
            <w:vAlign w:val="center"/>
            <w:hideMark/>
          </w:tcPr>
          <w:p w14:paraId="10440D56" w14:textId="77777777" w:rsidR="00295736" w:rsidRPr="00295736" w:rsidRDefault="00295736" w:rsidP="00295736">
            <w:pPr>
              <w:spacing w:before="0" w:after="0"/>
              <w:jc w:val="center"/>
              <w:rPr>
                <w:rFonts w:ascii="Calibri" w:hAnsi="Calibri"/>
                <w:b/>
                <w:bCs/>
                <w:color w:val="000000"/>
                <w:sz w:val="20"/>
                <w:szCs w:val="20"/>
              </w:rPr>
            </w:pPr>
            <w:r w:rsidRPr="00295736">
              <w:rPr>
                <w:rFonts w:ascii="Calibri" w:hAnsi="Calibri"/>
                <w:b/>
                <w:bCs/>
                <w:color w:val="000000"/>
                <w:sz w:val="20"/>
                <w:szCs w:val="20"/>
              </w:rPr>
              <w:t>246,311</w:t>
            </w:r>
          </w:p>
        </w:tc>
      </w:tr>
    </w:tbl>
    <w:p w14:paraId="1712DC2F" w14:textId="4C90B6BA" w:rsidR="00EC203B" w:rsidRDefault="00EC203B" w:rsidP="00EC203B">
      <w:pPr>
        <w:rPr>
          <w:rFonts w:ascii="Arial" w:hAnsi="Arial" w:cs="Arial"/>
        </w:rPr>
      </w:pPr>
      <w:r w:rsidRPr="00E07520">
        <w:rPr>
          <w:rFonts w:ascii="Arial" w:hAnsi="Arial" w:cs="Arial"/>
          <w:b/>
        </w:rPr>
        <w:t>Open Enrollment</w:t>
      </w:r>
      <w:r>
        <w:rPr>
          <w:rFonts w:ascii="Arial" w:hAnsi="Arial" w:cs="Arial"/>
        </w:rPr>
        <w:t xml:space="preserve">: Dates for the annual open enrollment period, known as </w:t>
      </w:r>
      <w:r w:rsidR="007F4A3A">
        <w:rPr>
          <w:rFonts w:ascii="Arial" w:hAnsi="Arial" w:cs="Arial"/>
        </w:rPr>
        <w:t>“</w:t>
      </w:r>
      <w:r>
        <w:rPr>
          <w:rFonts w:ascii="Arial" w:hAnsi="Arial" w:cs="Arial"/>
        </w:rPr>
        <w:t>It’s Your Choice</w:t>
      </w:r>
      <w:r w:rsidR="007F4A3A">
        <w:rPr>
          <w:rFonts w:ascii="Arial" w:hAnsi="Arial" w:cs="Arial"/>
        </w:rPr>
        <w:t>”</w:t>
      </w:r>
      <w:r>
        <w:rPr>
          <w:rFonts w:ascii="Arial" w:hAnsi="Arial" w:cs="Arial"/>
        </w:rPr>
        <w:t xml:space="preserve"> (IYC), are set by the Board each year. The 2016 open enrollment period will begin October 17 and end </w:t>
      </w:r>
      <w:r w:rsidRPr="004E709E">
        <w:rPr>
          <w:rFonts w:ascii="Arial" w:hAnsi="Arial" w:cs="Arial"/>
        </w:rPr>
        <w:t>November 11.</w:t>
      </w:r>
      <w:r>
        <w:rPr>
          <w:rFonts w:ascii="Arial" w:hAnsi="Arial" w:cs="Arial"/>
        </w:rPr>
        <w:t xml:space="preserve"> Program and benefit changes are primarily disseminated via employer groups and the ETF website.</w:t>
      </w:r>
    </w:p>
    <w:p w14:paraId="222C1FAB" w14:textId="0E61B92C" w:rsidR="003C4B63" w:rsidRDefault="003C4B63" w:rsidP="003C4B63">
      <w:pPr>
        <w:autoSpaceDE w:val="0"/>
        <w:autoSpaceDN w:val="0"/>
        <w:adjustRightInd w:val="0"/>
        <w:spacing w:after="0"/>
        <w:rPr>
          <w:rFonts w:ascii="Arial" w:hAnsi="Arial" w:cs="Arial"/>
        </w:rPr>
      </w:pPr>
      <w:r w:rsidRPr="00E07520">
        <w:rPr>
          <w:rFonts w:ascii="Arial" w:hAnsi="Arial" w:cs="Arial"/>
          <w:b/>
        </w:rPr>
        <w:t>Benefit Consultant</w:t>
      </w:r>
      <w:r>
        <w:rPr>
          <w:rFonts w:ascii="Arial" w:hAnsi="Arial" w:cs="Arial"/>
        </w:rPr>
        <w:t>: In November of 2015, the Board’s benefit consultant, Segal Consulting</w:t>
      </w:r>
      <w:r w:rsidR="00E0126F">
        <w:rPr>
          <w:rFonts w:ascii="Arial" w:hAnsi="Arial" w:cs="Arial"/>
        </w:rPr>
        <w:t xml:space="preserve"> (Segal)</w:t>
      </w:r>
      <w:r>
        <w:rPr>
          <w:rFonts w:ascii="Arial" w:hAnsi="Arial" w:cs="Arial"/>
        </w:rPr>
        <w:t xml:space="preserve">, presented </w:t>
      </w:r>
      <w:r w:rsidR="00E0126F">
        <w:rPr>
          <w:rFonts w:ascii="Arial" w:hAnsi="Arial" w:cs="Arial"/>
        </w:rPr>
        <w:t xml:space="preserve">a report containing </w:t>
      </w:r>
      <w:r>
        <w:rPr>
          <w:rFonts w:ascii="Arial" w:hAnsi="Arial" w:cs="Arial"/>
        </w:rPr>
        <w:t xml:space="preserve">analysis of the current </w:t>
      </w:r>
      <w:r w:rsidR="00D75670">
        <w:rPr>
          <w:rFonts w:ascii="Arial" w:hAnsi="Arial" w:cs="Arial"/>
        </w:rPr>
        <w:t>GHIP/WPE programs</w:t>
      </w:r>
      <w:r>
        <w:rPr>
          <w:rFonts w:ascii="Arial" w:hAnsi="Arial" w:cs="Arial"/>
        </w:rPr>
        <w:t xml:space="preserve"> and recommended </w:t>
      </w:r>
      <w:r w:rsidRPr="00E7541B">
        <w:rPr>
          <w:rFonts w:ascii="Arial" w:hAnsi="Arial" w:cs="Arial"/>
        </w:rPr>
        <w:t xml:space="preserve">strategies </w:t>
      </w:r>
      <w:r>
        <w:rPr>
          <w:rFonts w:ascii="Arial" w:hAnsi="Arial" w:cs="Arial"/>
        </w:rPr>
        <w:t xml:space="preserve">for program design that would contain future cost increases and </w:t>
      </w:r>
      <w:r w:rsidRPr="00E7541B">
        <w:rPr>
          <w:rFonts w:ascii="Arial" w:hAnsi="Arial" w:cs="Arial"/>
        </w:rPr>
        <w:t>improve health outcomes</w:t>
      </w:r>
      <w:r>
        <w:rPr>
          <w:rFonts w:ascii="Arial" w:hAnsi="Arial" w:cs="Arial"/>
        </w:rPr>
        <w:t xml:space="preserve"> while </w:t>
      </w:r>
      <w:r w:rsidRPr="00E7541B">
        <w:rPr>
          <w:rFonts w:ascii="Arial" w:hAnsi="Arial" w:cs="Arial"/>
        </w:rPr>
        <w:t>increas</w:t>
      </w:r>
      <w:r>
        <w:rPr>
          <w:rFonts w:ascii="Arial" w:hAnsi="Arial" w:cs="Arial"/>
        </w:rPr>
        <w:t>ing</w:t>
      </w:r>
      <w:r w:rsidRPr="00E7541B">
        <w:rPr>
          <w:rFonts w:ascii="Arial" w:hAnsi="Arial" w:cs="Arial"/>
        </w:rPr>
        <w:t xml:space="preserve"> the efficient delivery of quality</w:t>
      </w:r>
      <w:r>
        <w:rPr>
          <w:rFonts w:ascii="Arial" w:hAnsi="Arial" w:cs="Arial"/>
        </w:rPr>
        <w:t xml:space="preserve"> </w:t>
      </w:r>
      <w:r w:rsidRPr="00E7541B">
        <w:rPr>
          <w:rFonts w:ascii="Arial" w:hAnsi="Arial" w:cs="Arial"/>
        </w:rPr>
        <w:t xml:space="preserve">health care to </w:t>
      </w:r>
      <w:r w:rsidR="00E46012">
        <w:rPr>
          <w:rFonts w:ascii="Arial" w:hAnsi="Arial" w:cs="Arial"/>
        </w:rPr>
        <w:t>Member</w:t>
      </w:r>
      <w:r w:rsidR="00E46012" w:rsidRPr="002072C2">
        <w:rPr>
          <w:rFonts w:ascii="Arial" w:hAnsi="Arial" w:cs="Arial"/>
        </w:rPr>
        <w:t>s</w:t>
      </w:r>
      <w:r w:rsidRPr="00E7541B">
        <w:rPr>
          <w:rFonts w:ascii="Arial" w:hAnsi="Arial" w:cs="Arial"/>
        </w:rPr>
        <w:t>.</w:t>
      </w:r>
      <w:r>
        <w:rPr>
          <w:rFonts w:ascii="Arial" w:hAnsi="Arial" w:cs="Arial"/>
        </w:rPr>
        <w:t xml:space="preserve"> A significant component of the report is a recommendation for a Total Health Management model that includes driving engagement in wellness and disease management programming. As a result of this</w:t>
      </w:r>
      <w:r w:rsidR="001779D3">
        <w:rPr>
          <w:rFonts w:ascii="Arial" w:hAnsi="Arial" w:cs="Arial"/>
        </w:rPr>
        <w:t xml:space="preserve"> recommendation</w:t>
      </w:r>
      <w:r w:rsidR="002A2522">
        <w:rPr>
          <w:rFonts w:ascii="Arial" w:hAnsi="Arial" w:cs="Arial"/>
        </w:rPr>
        <w:t xml:space="preserve">, </w:t>
      </w:r>
      <w:r>
        <w:rPr>
          <w:rFonts w:ascii="Arial" w:hAnsi="Arial" w:cs="Arial"/>
        </w:rPr>
        <w:t xml:space="preserve">the Board has approved 2016 solicitations for a third party administrator of wellness and disease management programs, the development of a data warehouse, and proposals to evaluate self-insurance and regionalizing the health insurance program. A link to </w:t>
      </w:r>
      <w:r w:rsidR="00E0126F">
        <w:rPr>
          <w:rFonts w:ascii="Arial" w:hAnsi="Arial" w:cs="Arial"/>
        </w:rPr>
        <w:t>Segal’s</w:t>
      </w:r>
      <w:r>
        <w:rPr>
          <w:rFonts w:ascii="Arial" w:hAnsi="Arial" w:cs="Arial"/>
        </w:rPr>
        <w:t xml:space="preserve"> report and a link to the implementation memo can be found in Table 2</w:t>
      </w:r>
      <w:r w:rsidR="00C54627">
        <w:rPr>
          <w:rFonts w:ascii="Arial" w:hAnsi="Arial" w:cs="Arial"/>
        </w:rPr>
        <w:t xml:space="preserve"> Background Information</w:t>
      </w:r>
      <w:r>
        <w:rPr>
          <w:rFonts w:ascii="Arial" w:hAnsi="Arial" w:cs="Arial"/>
        </w:rPr>
        <w:t>.</w:t>
      </w:r>
    </w:p>
    <w:p w14:paraId="336C9D7E" w14:textId="6D474E39" w:rsidR="003C4B63" w:rsidRDefault="003C4B63" w:rsidP="003C4B63">
      <w:pPr>
        <w:rPr>
          <w:rFonts w:ascii="Arial" w:hAnsi="Arial" w:cs="Arial"/>
        </w:rPr>
      </w:pPr>
      <w:r w:rsidRPr="00E07520">
        <w:rPr>
          <w:rFonts w:ascii="Arial" w:hAnsi="Arial" w:cs="Arial"/>
          <w:b/>
        </w:rPr>
        <w:t>Employee Assistance Programs</w:t>
      </w:r>
      <w:r w:rsidR="00C15A94">
        <w:rPr>
          <w:rFonts w:ascii="Arial" w:hAnsi="Arial" w:cs="Arial"/>
          <w:b/>
        </w:rPr>
        <w:t xml:space="preserve"> (EAP)</w:t>
      </w:r>
      <w:r>
        <w:rPr>
          <w:rFonts w:ascii="Arial" w:hAnsi="Arial" w:cs="Arial"/>
        </w:rPr>
        <w:t>: Contracts for Employee Assistance Programs</w:t>
      </w:r>
      <w:r w:rsidR="00C15A94">
        <w:rPr>
          <w:rFonts w:ascii="Arial" w:hAnsi="Arial" w:cs="Arial"/>
        </w:rPr>
        <w:t xml:space="preserve"> </w:t>
      </w:r>
      <w:r>
        <w:rPr>
          <w:rFonts w:ascii="Arial" w:hAnsi="Arial" w:cs="Arial"/>
        </w:rPr>
        <w:t xml:space="preserve">are not held by a single central entity for </w:t>
      </w:r>
      <w:r w:rsidR="002A2522">
        <w:rPr>
          <w:rFonts w:ascii="Arial" w:hAnsi="Arial" w:cs="Arial"/>
        </w:rPr>
        <w:t>E</w:t>
      </w:r>
      <w:r w:rsidRPr="002072C2">
        <w:rPr>
          <w:rFonts w:ascii="Arial" w:hAnsi="Arial" w:cs="Arial"/>
        </w:rPr>
        <w:t>nrollees</w:t>
      </w:r>
      <w:r>
        <w:rPr>
          <w:rFonts w:ascii="Arial" w:hAnsi="Arial" w:cs="Arial"/>
        </w:rPr>
        <w:t xml:space="preserve">. The Department of Administration holds a statewide contract for EAP services available to </w:t>
      </w:r>
      <w:r w:rsidR="00873CDD">
        <w:rPr>
          <w:rFonts w:ascii="Arial" w:hAnsi="Arial" w:cs="Arial"/>
        </w:rPr>
        <w:t>State</w:t>
      </w:r>
      <w:r>
        <w:rPr>
          <w:rFonts w:ascii="Arial" w:hAnsi="Arial" w:cs="Arial"/>
        </w:rPr>
        <w:t xml:space="preserve"> agencies. The UW System campuses procure EAP vendors independently, as do the WPE local </w:t>
      </w:r>
      <w:r w:rsidRPr="00435511">
        <w:rPr>
          <w:rFonts w:ascii="Arial" w:hAnsi="Arial" w:cs="Arial"/>
        </w:rPr>
        <w:t xml:space="preserve">government </w:t>
      </w:r>
      <w:r>
        <w:rPr>
          <w:rFonts w:ascii="Arial" w:hAnsi="Arial" w:cs="Arial"/>
        </w:rPr>
        <w:t xml:space="preserve">employer groups. </w:t>
      </w:r>
    </w:p>
    <w:p w14:paraId="4995C78C" w14:textId="697C36D8" w:rsidR="00EC203B" w:rsidRDefault="00EC203B" w:rsidP="00EC203B">
      <w:pPr>
        <w:rPr>
          <w:rFonts w:ascii="Arial" w:hAnsi="Arial" w:cs="Arial"/>
        </w:rPr>
      </w:pPr>
      <w:r w:rsidRPr="00E07520">
        <w:rPr>
          <w:rFonts w:ascii="Arial" w:hAnsi="Arial" w:cs="Arial"/>
          <w:b/>
        </w:rPr>
        <w:t>Employer Groups</w:t>
      </w:r>
      <w:r>
        <w:rPr>
          <w:rFonts w:ascii="Arial" w:hAnsi="Arial" w:cs="Arial"/>
        </w:rPr>
        <w:t xml:space="preserve">: </w:t>
      </w:r>
      <w:r w:rsidRPr="00435511">
        <w:rPr>
          <w:rFonts w:ascii="Arial" w:hAnsi="Arial" w:cs="Arial"/>
        </w:rPr>
        <w:t xml:space="preserve">There are 58 different </w:t>
      </w:r>
      <w:r w:rsidR="00873CDD">
        <w:rPr>
          <w:rFonts w:ascii="Arial" w:hAnsi="Arial" w:cs="Arial"/>
        </w:rPr>
        <w:t>State</w:t>
      </w:r>
      <w:r w:rsidRPr="00435511">
        <w:rPr>
          <w:rFonts w:ascii="Arial" w:hAnsi="Arial" w:cs="Arial"/>
        </w:rPr>
        <w:t xml:space="preserve"> agencies in </w:t>
      </w:r>
      <w:r w:rsidR="001779D3">
        <w:rPr>
          <w:rFonts w:ascii="Arial" w:hAnsi="Arial" w:cs="Arial"/>
        </w:rPr>
        <w:t xml:space="preserve">the </w:t>
      </w:r>
      <w:r w:rsidR="00537694">
        <w:rPr>
          <w:rFonts w:ascii="Arial" w:hAnsi="Arial" w:cs="Arial"/>
        </w:rPr>
        <w:t>GHIP</w:t>
      </w:r>
      <w:r w:rsidR="005A35A1">
        <w:rPr>
          <w:rFonts w:ascii="Arial" w:hAnsi="Arial" w:cs="Arial"/>
        </w:rPr>
        <w:t xml:space="preserve"> program</w:t>
      </w:r>
      <w:r w:rsidR="001779D3">
        <w:rPr>
          <w:rFonts w:ascii="Arial" w:hAnsi="Arial" w:cs="Arial"/>
        </w:rPr>
        <w:t>,</w:t>
      </w:r>
      <w:r w:rsidRPr="00435511">
        <w:rPr>
          <w:rFonts w:ascii="Arial" w:hAnsi="Arial" w:cs="Arial"/>
        </w:rPr>
        <w:t xml:space="preserve"> which operate under </w:t>
      </w:r>
      <w:r>
        <w:rPr>
          <w:rFonts w:ascii="Arial" w:hAnsi="Arial" w:cs="Arial"/>
        </w:rPr>
        <w:t>eight</w:t>
      </w:r>
      <w:r w:rsidRPr="00435511">
        <w:rPr>
          <w:rFonts w:ascii="Arial" w:hAnsi="Arial" w:cs="Arial"/>
        </w:rPr>
        <w:t xml:space="preserve"> </w:t>
      </w:r>
      <w:r w:rsidR="00C15A94">
        <w:rPr>
          <w:rFonts w:ascii="Arial" w:hAnsi="Arial" w:cs="Arial"/>
        </w:rPr>
        <w:t xml:space="preserve">(8) </w:t>
      </w:r>
      <w:r w:rsidRPr="00435511">
        <w:rPr>
          <w:rFonts w:ascii="Arial" w:hAnsi="Arial" w:cs="Arial"/>
        </w:rPr>
        <w:t xml:space="preserve">different payroll processing centers. </w:t>
      </w:r>
      <w:r>
        <w:rPr>
          <w:rFonts w:ascii="Arial" w:hAnsi="Arial" w:cs="Arial"/>
        </w:rPr>
        <w:t>T</w:t>
      </w:r>
      <w:r w:rsidRPr="00435511">
        <w:rPr>
          <w:rFonts w:ascii="Arial" w:hAnsi="Arial" w:cs="Arial"/>
        </w:rPr>
        <w:t xml:space="preserve">here are </w:t>
      </w:r>
      <w:r>
        <w:rPr>
          <w:rFonts w:ascii="Arial" w:hAnsi="Arial" w:cs="Arial"/>
        </w:rPr>
        <w:t xml:space="preserve">currently </w:t>
      </w:r>
      <w:r w:rsidRPr="00435511">
        <w:rPr>
          <w:rFonts w:ascii="Arial" w:hAnsi="Arial" w:cs="Arial"/>
        </w:rPr>
        <w:t>368 local government employers offering health benefits to employees</w:t>
      </w:r>
      <w:r>
        <w:rPr>
          <w:rFonts w:ascii="Arial" w:hAnsi="Arial" w:cs="Arial"/>
        </w:rPr>
        <w:t xml:space="preserve"> through </w:t>
      </w:r>
      <w:r w:rsidR="003C4B63">
        <w:rPr>
          <w:rFonts w:ascii="Arial" w:hAnsi="Arial" w:cs="Arial"/>
        </w:rPr>
        <w:t>the WPE program</w:t>
      </w:r>
      <w:r>
        <w:rPr>
          <w:rFonts w:ascii="Arial" w:hAnsi="Arial" w:cs="Arial"/>
        </w:rPr>
        <w:t xml:space="preserve">. This participation </w:t>
      </w:r>
      <w:r>
        <w:rPr>
          <w:rFonts w:ascii="Arial" w:hAnsi="Arial" w:cs="Arial"/>
        </w:rPr>
        <w:lastRenderedPageBreak/>
        <w:t xml:space="preserve">varies slightly each year due to an annual opt in and opt out provision for any local government employer in Wisconsin. The University of Wisconsin System Administration manages payroll functions for the </w:t>
      </w:r>
      <w:r w:rsidRPr="00273653">
        <w:rPr>
          <w:rFonts w:ascii="Arial" w:hAnsi="Arial" w:cs="Arial"/>
        </w:rPr>
        <w:t xml:space="preserve">13 four-year campuses and </w:t>
      </w:r>
      <w:r w:rsidR="00C15A94">
        <w:rPr>
          <w:rFonts w:ascii="Arial" w:hAnsi="Arial" w:cs="Arial"/>
        </w:rPr>
        <w:t xml:space="preserve">the </w:t>
      </w:r>
      <w:r w:rsidRPr="00273653">
        <w:rPr>
          <w:rFonts w:ascii="Arial" w:hAnsi="Arial" w:cs="Arial"/>
        </w:rPr>
        <w:t xml:space="preserve">13 </w:t>
      </w:r>
      <w:r w:rsidRPr="004E0B14">
        <w:rPr>
          <w:rFonts w:ascii="Arial" w:hAnsi="Arial" w:cs="Arial"/>
        </w:rPr>
        <w:t>two</w:t>
      </w:r>
      <w:r w:rsidRPr="00273653">
        <w:rPr>
          <w:rFonts w:ascii="Arial" w:hAnsi="Arial" w:cs="Arial"/>
        </w:rPr>
        <w:t>-year campuses with locations throughout the State.</w:t>
      </w:r>
      <w:r>
        <w:rPr>
          <w:rFonts w:ascii="Arial" w:hAnsi="Arial" w:cs="Arial"/>
        </w:rPr>
        <w:t xml:space="preserve"> See Appendix </w:t>
      </w:r>
      <w:r w:rsidR="003A4BE4" w:rsidRPr="002072C2">
        <w:rPr>
          <w:rFonts w:ascii="Arial" w:hAnsi="Arial" w:cs="Arial"/>
        </w:rPr>
        <w:t>2</w:t>
      </w:r>
      <w:r>
        <w:rPr>
          <w:rFonts w:ascii="Arial" w:hAnsi="Arial" w:cs="Arial"/>
        </w:rPr>
        <w:t xml:space="preserve"> </w:t>
      </w:r>
      <w:r w:rsidR="00583656">
        <w:rPr>
          <w:rFonts w:ascii="Arial" w:hAnsi="Arial" w:cs="Arial"/>
        </w:rPr>
        <w:t>GHIP-WPE Employer Group Detail</w:t>
      </w:r>
      <w:r w:rsidR="00C54627">
        <w:rPr>
          <w:rFonts w:ascii="Arial" w:hAnsi="Arial" w:cs="Arial"/>
        </w:rPr>
        <w:t xml:space="preserve"> </w:t>
      </w:r>
      <w:r>
        <w:rPr>
          <w:rFonts w:ascii="Arial" w:hAnsi="Arial" w:cs="Arial"/>
        </w:rPr>
        <w:t>for a complete list of employer groups.</w:t>
      </w:r>
      <w:r w:rsidR="00FD41A7">
        <w:rPr>
          <w:rFonts w:ascii="Arial" w:hAnsi="Arial" w:cs="Arial"/>
        </w:rPr>
        <w:t xml:space="preserve"> Also, see Appendix 3 Department of Corrections (DOC) Work Locations, and Appendix 4 State Work Locations (non-DOC) for physical locations of employer groups.</w:t>
      </w:r>
    </w:p>
    <w:p w14:paraId="4068DA9D" w14:textId="77777777" w:rsidR="00EC203B" w:rsidRDefault="00EC203B" w:rsidP="00EC203B">
      <w:pPr>
        <w:pStyle w:val="Heading3"/>
      </w:pPr>
      <w:r>
        <w:t>Well Wisconsin Incentive</w:t>
      </w:r>
    </w:p>
    <w:p w14:paraId="11978A56" w14:textId="6B673A74" w:rsidR="00EC203B" w:rsidRDefault="00EC203B" w:rsidP="00EC203B">
      <w:pPr>
        <w:rPr>
          <w:rFonts w:ascii="Arial" w:hAnsi="Arial" w:cs="Arial"/>
        </w:rPr>
      </w:pPr>
      <w:r>
        <w:rPr>
          <w:rFonts w:ascii="Arial" w:hAnsi="Arial" w:cs="Arial"/>
        </w:rPr>
        <w:t>The Board implemented a uniform wellness incentive, known as the Well Wisconsin</w:t>
      </w:r>
      <w:r w:rsidR="001779D3">
        <w:rPr>
          <w:rFonts w:ascii="Arial" w:hAnsi="Arial" w:cs="Arial"/>
        </w:rPr>
        <w:t xml:space="preserve"> incentive</w:t>
      </w:r>
      <w:r>
        <w:rPr>
          <w:rFonts w:ascii="Arial" w:hAnsi="Arial" w:cs="Arial"/>
        </w:rPr>
        <w:t xml:space="preserve">, starting in 2014. </w:t>
      </w:r>
      <w:r w:rsidRPr="00EF5593">
        <w:rPr>
          <w:rFonts w:ascii="Arial" w:hAnsi="Arial" w:cs="Arial"/>
        </w:rPr>
        <w:t xml:space="preserve">The Well Wisconsin </w:t>
      </w:r>
      <w:r w:rsidR="00564C5E">
        <w:rPr>
          <w:rFonts w:ascii="Arial" w:hAnsi="Arial" w:cs="Arial"/>
        </w:rPr>
        <w:t>incentive</w:t>
      </w:r>
      <w:r w:rsidRPr="00EF5593">
        <w:rPr>
          <w:rFonts w:ascii="Arial" w:hAnsi="Arial" w:cs="Arial"/>
        </w:rPr>
        <w:t xml:space="preserve"> is available to the primary health insurance </w:t>
      </w:r>
      <w:r w:rsidRPr="002072C2">
        <w:rPr>
          <w:rFonts w:ascii="Arial" w:hAnsi="Arial" w:cs="Arial"/>
        </w:rPr>
        <w:t>subscriber</w:t>
      </w:r>
      <w:r w:rsidRPr="00EF5593">
        <w:rPr>
          <w:rFonts w:ascii="Arial" w:hAnsi="Arial" w:cs="Arial"/>
        </w:rPr>
        <w:t xml:space="preserve"> and their enrolled spouse/domestic partner. $150 is earned once a biometric screening and health plan</w:t>
      </w:r>
      <w:r w:rsidR="001779D3">
        <w:rPr>
          <w:rFonts w:ascii="Arial" w:hAnsi="Arial" w:cs="Arial"/>
        </w:rPr>
        <w:t>-</w:t>
      </w:r>
      <w:r w:rsidRPr="00EF5593">
        <w:rPr>
          <w:rFonts w:ascii="Arial" w:hAnsi="Arial" w:cs="Arial"/>
        </w:rPr>
        <w:t>provided health risk assessment are completed.</w:t>
      </w:r>
      <w:r>
        <w:rPr>
          <w:rFonts w:ascii="Arial" w:hAnsi="Arial" w:cs="Arial"/>
        </w:rPr>
        <w:t xml:space="preserve"> The incentive is available to active employees and annuitants, excluding those annuitants also enrolled in a Medicare Advantage plan </w:t>
      </w:r>
      <w:r w:rsidR="001779D3">
        <w:rPr>
          <w:rFonts w:ascii="Arial" w:hAnsi="Arial" w:cs="Arial"/>
        </w:rPr>
        <w:t xml:space="preserve">that </w:t>
      </w:r>
      <w:r>
        <w:rPr>
          <w:rFonts w:ascii="Arial" w:hAnsi="Arial" w:cs="Arial"/>
        </w:rPr>
        <w:t>restricts incentive</w:t>
      </w:r>
      <w:r w:rsidR="00564C5E">
        <w:rPr>
          <w:rFonts w:ascii="Arial" w:hAnsi="Arial" w:cs="Arial"/>
        </w:rPr>
        <w:t>s</w:t>
      </w:r>
      <w:r>
        <w:rPr>
          <w:rFonts w:ascii="Arial" w:hAnsi="Arial" w:cs="Arial"/>
        </w:rPr>
        <w:t xml:space="preserve">. Individual health plans are the primary administrators of the current Well Wisconsin </w:t>
      </w:r>
      <w:r w:rsidR="00564C5E">
        <w:rPr>
          <w:rFonts w:ascii="Arial" w:hAnsi="Arial" w:cs="Arial"/>
        </w:rPr>
        <w:t>incentive</w:t>
      </w:r>
      <w:r>
        <w:rPr>
          <w:rFonts w:ascii="Arial" w:hAnsi="Arial" w:cs="Arial"/>
        </w:rPr>
        <w:t xml:space="preserve">. Health plans are required by the Board contract to provide </w:t>
      </w:r>
      <w:r w:rsidRPr="002072C2">
        <w:rPr>
          <w:rFonts w:ascii="Arial" w:hAnsi="Arial" w:cs="Arial"/>
        </w:rPr>
        <w:t>enrollees</w:t>
      </w:r>
      <w:r>
        <w:rPr>
          <w:rFonts w:ascii="Arial" w:hAnsi="Arial" w:cs="Arial"/>
        </w:rPr>
        <w:t xml:space="preserve"> with a health risk assessment and issue the cash incentive once the program requirements are met. A link for </w:t>
      </w:r>
      <w:r w:rsidR="00564C5E">
        <w:rPr>
          <w:rFonts w:ascii="Arial" w:hAnsi="Arial" w:cs="Arial"/>
        </w:rPr>
        <w:t xml:space="preserve">the </w:t>
      </w:r>
      <w:r>
        <w:rPr>
          <w:rFonts w:ascii="Arial" w:hAnsi="Arial" w:cs="Arial"/>
        </w:rPr>
        <w:t xml:space="preserve">Well Wisconsin website can be found in Table </w:t>
      </w:r>
      <w:r w:rsidR="00564C5E">
        <w:rPr>
          <w:rFonts w:ascii="Arial" w:hAnsi="Arial" w:cs="Arial"/>
        </w:rPr>
        <w:t>2</w:t>
      </w:r>
      <w:r w:rsidR="00C54627">
        <w:rPr>
          <w:rFonts w:ascii="Arial" w:hAnsi="Arial" w:cs="Arial"/>
        </w:rPr>
        <w:t xml:space="preserve"> Background Information</w:t>
      </w:r>
      <w:r>
        <w:rPr>
          <w:rFonts w:ascii="Arial" w:hAnsi="Arial" w:cs="Arial"/>
        </w:rPr>
        <w:t>.</w:t>
      </w:r>
    </w:p>
    <w:p w14:paraId="7DA2BBC9" w14:textId="50C68726" w:rsidR="00EC203B" w:rsidRDefault="00EC203B" w:rsidP="00EC203B">
      <w:pPr>
        <w:rPr>
          <w:rFonts w:ascii="Arial" w:hAnsi="Arial" w:cs="Arial"/>
        </w:rPr>
      </w:pPr>
      <w:r w:rsidRPr="00E07520">
        <w:rPr>
          <w:rFonts w:ascii="Arial" w:hAnsi="Arial" w:cs="Arial"/>
          <w:b/>
        </w:rPr>
        <w:t>Worksite</w:t>
      </w:r>
      <w:r>
        <w:rPr>
          <w:rFonts w:ascii="Arial" w:hAnsi="Arial" w:cs="Arial"/>
        </w:rPr>
        <w:t xml:space="preserve"> </w:t>
      </w:r>
      <w:r w:rsidRPr="00E07520">
        <w:rPr>
          <w:rFonts w:ascii="Arial" w:hAnsi="Arial" w:cs="Arial"/>
          <w:b/>
        </w:rPr>
        <w:t>Biometric Screenings</w:t>
      </w:r>
      <w:r>
        <w:rPr>
          <w:rFonts w:ascii="Arial" w:hAnsi="Arial" w:cs="Arial"/>
        </w:rPr>
        <w:t>: Since 2014, the</w:t>
      </w:r>
      <w:r w:rsidR="00104A41">
        <w:rPr>
          <w:rFonts w:ascii="Arial" w:hAnsi="Arial" w:cs="Arial"/>
        </w:rPr>
        <w:t xml:space="preserve"> Wisconsin</w:t>
      </w:r>
      <w:r>
        <w:rPr>
          <w:rFonts w:ascii="Arial" w:hAnsi="Arial" w:cs="Arial"/>
        </w:rPr>
        <w:t xml:space="preserve"> Department of Administration has held a statewide contract with </w:t>
      </w:r>
      <w:proofErr w:type="spellStart"/>
      <w:r>
        <w:rPr>
          <w:rFonts w:ascii="Arial" w:hAnsi="Arial" w:cs="Arial"/>
        </w:rPr>
        <w:t>OptumHealth</w:t>
      </w:r>
      <w:proofErr w:type="spellEnd"/>
      <w:r>
        <w:rPr>
          <w:rFonts w:ascii="Arial" w:hAnsi="Arial" w:cs="Arial"/>
        </w:rPr>
        <w:t xml:space="preserve"> for worksite biometric screenings</w:t>
      </w:r>
      <w:r w:rsidR="001779D3">
        <w:rPr>
          <w:rFonts w:ascii="Arial" w:hAnsi="Arial" w:cs="Arial"/>
        </w:rPr>
        <w:t>,</w:t>
      </w:r>
      <w:r>
        <w:rPr>
          <w:rFonts w:ascii="Arial" w:hAnsi="Arial" w:cs="Arial"/>
        </w:rPr>
        <w:t xml:space="preserve"> which </w:t>
      </w:r>
      <w:r w:rsidR="002072C2">
        <w:rPr>
          <w:rFonts w:ascii="Arial" w:hAnsi="Arial" w:cs="Arial"/>
        </w:rPr>
        <w:t xml:space="preserve">are </w:t>
      </w:r>
      <w:r>
        <w:rPr>
          <w:rFonts w:ascii="Arial" w:hAnsi="Arial" w:cs="Arial"/>
        </w:rPr>
        <w:t xml:space="preserve">available to all employer groups of </w:t>
      </w:r>
      <w:r w:rsidR="003C4B63">
        <w:rPr>
          <w:rFonts w:ascii="Arial" w:hAnsi="Arial" w:cs="Arial"/>
        </w:rPr>
        <w:t>t</w:t>
      </w:r>
      <w:r w:rsidR="003C4B63" w:rsidRPr="00911027">
        <w:rPr>
          <w:rFonts w:ascii="Arial" w:hAnsi="Arial" w:cs="Arial"/>
        </w:rPr>
        <w:t xml:space="preserve">he </w:t>
      </w:r>
      <w:r w:rsidR="003C4B63">
        <w:rPr>
          <w:rFonts w:ascii="Arial" w:hAnsi="Arial" w:cs="Arial"/>
        </w:rPr>
        <w:t>GHIP/WPE program</w:t>
      </w:r>
      <w:r w:rsidR="00D75670">
        <w:rPr>
          <w:rFonts w:ascii="Arial" w:hAnsi="Arial" w:cs="Arial"/>
        </w:rPr>
        <w:t>s</w:t>
      </w:r>
      <w:r>
        <w:rPr>
          <w:rFonts w:ascii="Arial" w:hAnsi="Arial" w:cs="Arial"/>
        </w:rPr>
        <w:t xml:space="preserve">. In 2015, 188 screening events </w:t>
      </w:r>
      <w:r w:rsidR="002A2522">
        <w:rPr>
          <w:rFonts w:ascii="Arial" w:hAnsi="Arial" w:cs="Arial"/>
        </w:rPr>
        <w:t xml:space="preserve">were held </w:t>
      </w:r>
      <w:r w:rsidR="00564C5E">
        <w:rPr>
          <w:rFonts w:ascii="Arial" w:hAnsi="Arial" w:cs="Arial"/>
        </w:rPr>
        <w:t xml:space="preserve">at approximately 125 locations, </w:t>
      </w:r>
      <w:r>
        <w:rPr>
          <w:rFonts w:ascii="Arial" w:hAnsi="Arial" w:cs="Arial"/>
        </w:rPr>
        <w:t>with a total of 16,600 individuals screened. Results data from the worksite s</w:t>
      </w:r>
      <w:r w:rsidR="002A2522">
        <w:rPr>
          <w:rFonts w:ascii="Arial" w:hAnsi="Arial" w:cs="Arial"/>
        </w:rPr>
        <w:t>creening is transferred to the P</w:t>
      </w:r>
      <w:r>
        <w:rPr>
          <w:rFonts w:ascii="Arial" w:hAnsi="Arial" w:cs="Arial"/>
        </w:rPr>
        <w:t>articipant’s health plan.</w:t>
      </w:r>
    </w:p>
    <w:p w14:paraId="670B1736" w14:textId="723A75FD" w:rsidR="00EC203B" w:rsidRDefault="00EC203B" w:rsidP="00EC203B">
      <w:pPr>
        <w:rPr>
          <w:rFonts w:ascii="Arial" w:hAnsi="Arial" w:cs="Arial"/>
        </w:rPr>
      </w:pPr>
      <w:r w:rsidRPr="00E07520">
        <w:rPr>
          <w:rFonts w:ascii="Arial" w:hAnsi="Arial" w:cs="Arial"/>
          <w:b/>
        </w:rPr>
        <w:t>Participation Rates</w:t>
      </w:r>
      <w:r>
        <w:rPr>
          <w:rFonts w:ascii="Arial" w:hAnsi="Arial" w:cs="Arial"/>
        </w:rPr>
        <w:t xml:space="preserve">: Participation in </w:t>
      </w:r>
      <w:r w:rsidR="00104A41">
        <w:rPr>
          <w:rFonts w:ascii="Arial" w:hAnsi="Arial" w:cs="Arial"/>
        </w:rPr>
        <w:t xml:space="preserve">the </w:t>
      </w:r>
      <w:r>
        <w:rPr>
          <w:rFonts w:ascii="Arial" w:hAnsi="Arial" w:cs="Arial"/>
        </w:rPr>
        <w:t xml:space="preserve">Well Wisconsin </w:t>
      </w:r>
      <w:r w:rsidR="00104A41">
        <w:rPr>
          <w:rFonts w:ascii="Arial" w:hAnsi="Arial" w:cs="Arial"/>
        </w:rPr>
        <w:t xml:space="preserve">program </w:t>
      </w:r>
      <w:r>
        <w:rPr>
          <w:rFonts w:ascii="Arial" w:hAnsi="Arial" w:cs="Arial"/>
        </w:rPr>
        <w:t xml:space="preserve">for both 2014 and 2015 was approximately 13% of the eligible population. In 2015 there were </w:t>
      </w:r>
      <w:r w:rsidR="00104A41">
        <w:rPr>
          <w:rFonts w:ascii="Arial" w:hAnsi="Arial" w:cs="Arial"/>
        </w:rPr>
        <w:t xml:space="preserve">approximately </w:t>
      </w:r>
      <w:r>
        <w:rPr>
          <w:rFonts w:ascii="Arial" w:hAnsi="Arial" w:cs="Arial"/>
        </w:rPr>
        <w:t>27,500 incentive</w:t>
      </w:r>
      <w:r w:rsidR="00F6696B">
        <w:rPr>
          <w:rFonts w:ascii="Arial" w:hAnsi="Arial" w:cs="Arial"/>
        </w:rPr>
        <w:t xml:space="preserve"> payments</w:t>
      </w:r>
      <w:r>
        <w:rPr>
          <w:rFonts w:ascii="Arial" w:hAnsi="Arial" w:cs="Arial"/>
        </w:rPr>
        <w:t xml:space="preserve"> issued. </w:t>
      </w:r>
    </w:p>
    <w:p w14:paraId="2F8662F0" w14:textId="77966F8A" w:rsidR="00EC203B" w:rsidRDefault="00EC203B" w:rsidP="00EC203B">
      <w:pPr>
        <w:rPr>
          <w:rFonts w:ascii="Arial" w:hAnsi="Arial" w:cs="Arial"/>
        </w:rPr>
      </w:pPr>
      <w:r>
        <w:rPr>
          <w:rFonts w:ascii="Arial" w:hAnsi="Arial" w:cs="Arial"/>
        </w:rPr>
        <w:t xml:space="preserve">The following factors significantly impact the ability to use program data for </w:t>
      </w:r>
      <w:r w:rsidR="00F6696B">
        <w:rPr>
          <w:rFonts w:ascii="Arial" w:hAnsi="Arial" w:cs="Arial"/>
        </w:rPr>
        <w:t>evaluating and expanding the current program</w:t>
      </w:r>
      <w:r>
        <w:rPr>
          <w:rFonts w:ascii="Arial" w:hAnsi="Arial" w:cs="Arial"/>
        </w:rPr>
        <w:t>: relatively low participation rates in the program, no medical claims data for program outreach and evaluation, and the lack of a uniform health risk assessment.</w:t>
      </w:r>
    </w:p>
    <w:p w14:paraId="518E4F61" w14:textId="77777777" w:rsidR="00EC203B" w:rsidRDefault="00EC203B" w:rsidP="00EC203B">
      <w:pPr>
        <w:pStyle w:val="Heading3"/>
      </w:pPr>
      <w:r>
        <w:t>Disease Management</w:t>
      </w:r>
    </w:p>
    <w:p w14:paraId="5B880CEF" w14:textId="39713210" w:rsidR="00EC203B" w:rsidRPr="007B3E8A" w:rsidRDefault="00EC203B" w:rsidP="00EC203B">
      <w:pPr>
        <w:rPr>
          <w:rFonts w:ascii="Arial" w:hAnsi="Arial" w:cs="Arial"/>
        </w:rPr>
      </w:pPr>
      <w:r>
        <w:rPr>
          <w:rFonts w:ascii="Arial" w:hAnsi="Arial" w:cs="Arial"/>
        </w:rPr>
        <w:t>Although contracted health plans are currently required to offer disease management programs, few health plans are using the Well Wisconsin program as an opportunity to enroll moderate to high risk participants into health plan</w:t>
      </w:r>
      <w:r w:rsidR="00F6696B">
        <w:rPr>
          <w:rFonts w:ascii="Arial" w:hAnsi="Arial" w:cs="Arial"/>
        </w:rPr>
        <w:t>-</w:t>
      </w:r>
      <w:r>
        <w:rPr>
          <w:rFonts w:ascii="Arial" w:hAnsi="Arial" w:cs="Arial"/>
        </w:rPr>
        <w:t xml:space="preserve">provided disease management programs. For those health plans that are offering additional health </w:t>
      </w:r>
      <w:r w:rsidR="00104A41">
        <w:rPr>
          <w:rFonts w:ascii="Arial" w:hAnsi="Arial" w:cs="Arial"/>
        </w:rPr>
        <w:t>outreach</w:t>
      </w:r>
      <w:r w:rsidR="00F6696B">
        <w:rPr>
          <w:rFonts w:ascii="Arial" w:hAnsi="Arial" w:cs="Arial"/>
        </w:rPr>
        <w:t>-</w:t>
      </w:r>
      <w:r>
        <w:rPr>
          <w:rFonts w:ascii="Arial" w:hAnsi="Arial" w:cs="Arial"/>
        </w:rPr>
        <w:t xml:space="preserve">based Well Wisconsin participation, engagement rates are low. There are currently no provisions in the uniform benefits of </w:t>
      </w:r>
      <w:r w:rsidR="001B0BDD">
        <w:rPr>
          <w:rFonts w:ascii="Arial" w:hAnsi="Arial" w:cs="Arial"/>
        </w:rPr>
        <w:t>t</w:t>
      </w:r>
      <w:r w:rsidR="001B0BDD" w:rsidRPr="00911027">
        <w:rPr>
          <w:rFonts w:ascii="Arial" w:hAnsi="Arial" w:cs="Arial"/>
        </w:rPr>
        <w:t xml:space="preserve">he </w:t>
      </w:r>
      <w:r w:rsidR="001B0BDD">
        <w:rPr>
          <w:rFonts w:ascii="Arial" w:hAnsi="Arial" w:cs="Arial"/>
        </w:rPr>
        <w:t>GHIP/WPE program</w:t>
      </w:r>
      <w:r w:rsidR="00D75670">
        <w:rPr>
          <w:rFonts w:ascii="Arial" w:hAnsi="Arial" w:cs="Arial"/>
        </w:rPr>
        <w:t>s</w:t>
      </w:r>
      <w:r w:rsidR="001B0BDD" w:rsidDel="003C4B63">
        <w:rPr>
          <w:rFonts w:ascii="Arial" w:hAnsi="Arial" w:cs="Arial"/>
        </w:rPr>
        <w:t xml:space="preserve"> </w:t>
      </w:r>
      <w:r>
        <w:rPr>
          <w:rFonts w:ascii="Arial" w:hAnsi="Arial" w:cs="Arial"/>
        </w:rPr>
        <w:t>that incent or require participation in disease management programs. Segal</w:t>
      </w:r>
      <w:r w:rsidR="00F6696B">
        <w:rPr>
          <w:rFonts w:ascii="Arial" w:hAnsi="Arial" w:cs="Arial"/>
        </w:rPr>
        <w:t>’s</w:t>
      </w:r>
      <w:r>
        <w:rPr>
          <w:rFonts w:ascii="Arial" w:hAnsi="Arial" w:cs="Arial"/>
        </w:rPr>
        <w:t xml:space="preserve"> recommendation to the Board in November 2015 does recommend such provisions.</w:t>
      </w:r>
    </w:p>
    <w:p w14:paraId="0D651EB8" w14:textId="77777777" w:rsidR="00EC203B" w:rsidRDefault="00EC203B" w:rsidP="00EC203B">
      <w:pPr>
        <w:pStyle w:val="Heading3"/>
      </w:pPr>
      <w:r>
        <w:t>Additional Background Information</w:t>
      </w:r>
    </w:p>
    <w:p w14:paraId="7B582FEA" w14:textId="12FCAC9B" w:rsidR="00EC203B" w:rsidRDefault="00EC203B" w:rsidP="00EC203B">
      <w:pPr>
        <w:pStyle w:val="LRWLBodyText"/>
        <w:rPr>
          <w:rFonts w:cs="Arial"/>
        </w:rPr>
      </w:pPr>
      <w:r>
        <w:rPr>
          <w:rFonts w:cs="Arial"/>
        </w:rPr>
        <w:t xml:space="preserve">Table </w:t>
      </w:r>
      <w:r w:rsidR="00564C5E">
        <w:rPr>
          <w:rFonts w:cs="Arial"/>
        </w:rPr>
        <w:t>2</w:t>
      </w:r>
      <w:r w:rsidRPr="009733E4">
        <w:rPr>
          <w:rFonts w:cs="Arial"/>
        </w:rPr>
        <w:t xml:space="preserve"> </w:t>
      </w:r>
      <w:r>
        <w:rPr>
          <w:rFonts w:cs="Arial"/>
        </w:rPr>
        <w:t>(below) provides links to addi</w:t>
      </w:r>
      <w:r w:rsidR="00B079F5">
        <w:rPr>
          <w:rFonts w:cs="Arial"/>
        </w:rPr>
        <w:t xml:space="preserve">tional background information. </w:t>
      </w:r>
      <w:r w:rsidRPr="00EE080A">
        <w:rPr>
          <w:rFonts w:cs="Arial"/>
        </w:rPr>
        <w:t xml:space="preserve">This information is provided to assist the Proposer in completing </w:t>
      </w:r>
      <w:r w:rsidR="00F6696B">
        <w:rPr>
          <w:rFonts w:cs="Arial"/>
        </w:rPr>
        <w:t>an</w:t>
      </w:r>
      <w:r w:rsidR="001C6A42">
        <w:rPr>
          <w:rFonts w:cs="Arial"/>
        </w:rPr>
        <w:t xml:space="preserve"> </w:t>
      </w:r>
      <w:r w:rsidRPr="00EE080A">
        <w:rPr>
          <w:rFonts w:cs="Arial"/>
        </w:rPr>
        <w:t xml:space="preserve">RFP response. </w:t>
      </w:r>
    </w:p>
    <w:p w14:paraId="01331142" w14:textId="268350A6" w:rsidR="00EC203B" w:rsidRPr="00DC7DC5" w:rsidRDefault="00EC203B" w:rsidP="00EC203B">
      <w:pPr>
        <w:pStyle w:val="Caption"/>
        <w:rPr>
          <w:rFonts w:ascii="Arial" w:hAnsi="Arial" w:cs="Arial"/>
          <w:sz w:val="22"/>
          <w:szCs w:val="22"/>
        </w:rPr>
      </w:pPr>
      <w:r>
        <w:rPr>
          <w:rFonts w:ascii="Arial" w:hAnsi="Arial" w:cs="Arial"/>
          <w:sz w:val="22"/>
          <w:szCs w:val="22"/>
        </w:rPr>
        <w:lastRenderedPageBreak/>
        <w:t xml:space="preserve">Table </w:t>
      </w:r>
      <w:r w:rsidR="00564C5E">
        <w:rPr>
          <w:rFonts w:ascii="Arial" w:hAnsi="Arial" w:cs="Arial"/>
          <w:sz w:val="22"/>
          <w:szCs w:val="22"/>
        </w:rPr>
        <w:t>2</w:t>
      </w:r>
      <w:r>
        <w:rPr>
          <w:rFonts w:ascii="Arial" w:hAnsi="Arial" w:cs="Arial"/>
          <w:sz w:val="22"/>
          <w:szCs w:val="22"/>
        </w:rPr>
        <w:t xml:space="preserve"> Background Information</w:t>
      </w:r>
    </w:p>
    <w:tbl>
      <w:tblPr>
        <w:tblW w:w="95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045"/>
        <w:gridCol w:w="5459"/>
      </w:tblGrid>
      <w:tr w:rsidR="00EC203B" w:rsidRPr="00273653" w14:paraId="4B1ABCA3" w14:textId="77777777" w:rsidTr="00EC203B">
        <w:tc>
          <w:tcPr>
            <w:tcW w:w="4045" w:type="dxa"/>
            <w:shd w:val="clear" w:color="auto" w:fill="1F497D" w:themeFill="text2"/>
          </w:tcPr>
          <w:p w14:paraId="1F29BE29" w14:textId="77777777" w:rsidR="00EC203B" w:rsidRPr="00273653" w:rsidRDefault="00EC203B" w:rsidP="00EC203B">
            <w:pPr>
              <w:rPr>
                <w:rFonts w:ascii="Arial" w:hAnsi="Arial" w:cs="Arial"/>
                <w:color w:val="FFFFFF" w:themeColor="background1"/>
              </w:rPr>
            </w:pPr>
            <w:r>
              <w:rPr>
                <w:rFonts w:ascii="Arial" w:hAnsi="Arial" w:cs="Arial"/>
                <w:color w:val="FFFFFF" w:themeColor="background1"/>
              </w:rPr>
              <w:t>Background</w:t>
            </w:r>
          </w:p>
        </w:tc>
        <w:tc>
          <w:tcPr>
            <w:tcW w:w="5459" w:type="dxa"/>
            <w:shd w:val="clear" w:color="auto" w:fill="1F497D" w:themeFill="text2"/>
          </w:tcPr>
          <w:p w14:paraId="1F70F2AE" w14:textId="77777777" w:rsidR="00EC203B" w:rsidRPr="00273653" w:rsidRDefault="00EC203B" w:rsidP="00EC203B">
            <w:pPr>
              <w:rPr>
                <w:rFonts w:ascii="Arial" w:hAnsi="Arial" w:cs="Arial"/>
                <w:color w:val="FFFFFF" w:themeColor="background1"/>
              </w:rPr>
            </w:pPr>
            <w:r w:rsidRPr="00DC7DC5">
              <w:rPr>
                <w:rFonts w:ascii="Arial" w:hAnsi="Arial" w:cs="Arial"/>
                <w:color w:val="FFFFFF" w:themeColor="background1"/>
              </w:rPr>
              <w:t>Web Address</w:t>
            </w:r>
          </w:p>
        </w:tc>
      </w:tr>
      <w:tr w:rsidR="00EC203B" w:rsidRPr="00273653" w14:paraId="56D6B771" w14:textId="77777777" w:rsidTr="00EC203B">
        <w:tc>
          <w:tcPr>
            <w:tcW w:w="4045" w:type="dxa"/>
            <w:shd w:val="clear" w:color="auto" w:fill="C6D9F1" w:themeFill="text2" w:themeFillTint="33"/>
          </w:tcPr>
          <w:p w14:paraId="5BC39CFB" w14:textId="77777777" w:rsidR="00EC203B" w:rsidRPr="00E00C13" w:rsidRDefault="00EC203B" w:rsidP="00EC203B">
            <w:pPr>
              <w:rPr>
                <w:rFonts w:ascii="Arial" w:hAnsi="Arial" w:cs="Arial"/>
              </w:rPr>
            </w:pPr>
            <w:r>
              <w:rPr>
                <w:rFonts w:ascii="Arial" w:hAnsi="Arial" w:cs="Arial"/>
              </w:rPr>
              <w:t>Well Wisconsin Program Website</w:t>
            </w:r>
          </w:p>
        </w:tc>
        <w:tc>
          <w:tcPr>
            <w:tcW w:w="5459" w:type="dxa"/>
            <w:shd w:val="clear" w:color="auto" w:fill="C6D9F1" w:themeFill="text2" w:themeFillTint="33"/>
          </w:tcPr>
          <w:p w14:paraId="7A6A3095" w14:textId="77777777" w:rsidR="00EC203B" w:rsidRPr="00E00C13" w:rsidRDefault="00D95407" w:rsidP="00EC203B">
            <w:pPr>
              <w:jc w:val="both"/>
              <w:rPr>
                <w:rFonts w:ascii="Arial" w:hAnsi="Arial" w:cs="Arial"/>
              </w:rPr>
            </w:pPr>
            <w:hyperlink r:id="rId9" w:history="1">
              <w:r w:rsidR="00EC203B" w:rsidRPr="004C0DD7">
                <w:rPr>
                  <w:rStyle w:val="Hyperlink"/>
                  <w:rFonts w:ascii="Arial" w:hAnsi="Arial" w:cs="Arial"/>
                </w:rPr>
                <w:t>http://wellwisconsin.wi.gov/Home</w:t>
              </w:r>
            </w:hyperlink>
          </w:p>
        </w:tc>
      </w:tr>
      <w:tr w:rsidR="001B0BDD" w:rsidRPr="00273653" w14:paraId="5975984B" w14:textId="77777777" w:rsidTr="00EC203B">
        <w:tc>
          <w:tcPr>
            <w:tcW w:w="4045" w:type="dxa"/>
            <w:shd w:val="clear" w:color="auto" w:fill="C6D9F1" w:themeFill="text2" w:themeFillTint="33"/>
          </w:tcPr>
          <w:p w14:paraId="2BB80905" w14:textId="249F7E12" w:rsidR="001B0BDD" w:rsidRDefault="001B0BDD" w:rsidP="001B0BDD">
            <w:pPr>
              <w:rPr>
                <w:rFonts w:ascii="Arial" w:hAnsi="Arial" w:cs="Arial"/>
              </w:rPr>
            </w:pPr>
            <w:r>
              <w:rPr>
                <w:rFonts w:ascii="Arial" w:hAnsi="Arial" w:cs="Arial"/>
              </w:rPr>
              <w:t>Information about the GHIP/WPE program</w:t>
            </w:r>
            <w:r w:rsidR="00D75670">
              <w:rPr>
                <w:rFonts w:ascii="Arial" w:hAnsi="Arial" w:cs="Arial"/>
              </w:rPr>
              <w:t>s</w:t>
            </w:r>
          </w:p>
        </w:tc>
        <w:tc>
          <w:tcPr>
            <w:tcW w:w="5459" w:type="dxa"/>
            <w:shd w:val="clear" w:color="auto" w:fill="C6D9F1" w:themeFill="text2" w:themeFillTint="33"/>
          </w:tcPr>
          <w:p w14:paraId="4E3EC76E" w14:textId="0794F047" w:rsidR="001B0BDD" w:rsidRDefault="00D95407" w:rsidP="001B0BDD">
            <w:pPr>
              <w:jc w:val="both"/>
            </w:pPr>
            <w:hyperlink r:id="rId10" w:history="1">
              <w:r w:rsidR="001B0BDD" w:rsidRPr="00467C1A">
                <w:rPr>
                  <w:rStyle w:val="Hyperlink"/>
                  <w:rFonts w:ascii="Arial" w:hAnsi="Arial" w:cs="Arial"/>
                  <w:color w:val="1F497D" w:themeColor="text2"/>
                </w:rPr>
                <w:t>http://etf.wi.gov/publications/et8902.pdf</w:t>
              </w:r>
            </w:hyperlink>
          </w:p>
        </w:tc>
      </w:tr>
      <w:tr w:rsidR="00EC203B" w:rsidRPr="00273653" w14:paraId="56D10046" w14:textId="77777777" w:rsidTr="00EC203B">
        <w:tc>
          <w:tcPr>
            <w:tcW w:w="4045" w:type="dxa"/>
            <w:shd w:val="clear" w:color="auto" w:fill="C6D9F1" w:themeFill="text2" w:themeFillTint="33"/>
          </w:tcPr>
          <w:p w14:paraId="064858E0" w14:textId="77777777" w:rsidR="00EC203B" w:rsidRPr="00E00C13" w:rsidRDefault="00EC203B" w:rsidP="00EC203B">
            <w:pPr>
              <w:rPr>
                <w:rFonts w:ascii="Arial" w:hAnsi="Arial" w:cs="Arial"/>
              </w:rPr>
            </w:pPr>
            <w:r>
              <w:rPr>
                <w:rFonts w:ascii="Arial" w:hAnsi="Arial" w:cs="Arial"/>
              </w:rPr>
              <w:t>It’s Your Choice Open Enrollment Material</w:t>
            </w:r>
          </w:p>
        </w:tc>
        <w:tc>
          <w:tcPr>
            <w:tcW w:w="5459" w:type="dxa"/>
            <w:shd w:val="clear" w:color="auto" w:fill="C6D9F1" w:themeFill="text2" w:themeFillTint="33"/>
          </w:tcPr>
          <w:p w14:paraId="20862F4A" w14:textId="77777777" w:rsidR="00EC203B" w:rsidRPr="00E00C13" w:rsidRDefault="00D95407" w:rsidP="00EC203B">
            <w:pPr>
              <w:jc w:val="both"/>
              <w:rPr>
                <w:rFonts w:ascii="Arial" w:hAnsi="Arial" w:cs="Arial"/>
              </w:rPr>
            </w:pPr>
            <w:hyperlink r:id="rId11" w:history="1">
              <w:r w:rsidR="00EC203B" w:rsidRPr="00F358C5">
                <w:rPr>
                  <w:rStyle w:val="Hyperlink"/>
                  <w:rFonts w:ascii="Arial" w:hAnsi="Arial" w:cs="Arial"/>
                </w:rPr>
                <w:t>http://etf.wi.gov/members/IYC2016/IYC_home.asp</w:t>
              </w:r>
            </w:hyperlink>
          </w:p>
        </w:tc>
      </w:tr>
      <w:tr w:rsidR="00EC203B" w:rsidRPr="00273653" w14:paraId="78EF6CE2" w14:textId="77777777" w:rsidTr="00EC203B">
        <w:tc>
          <w:tcPr>
            <w:tcW w:w="4045" w:type="dxa"/>
            <w:shd w:val="clear" w:color="auto" w:fill="C6D9F1" w:themeFill="text2" w:themeFillTint="33"/>
          </w:tcPr>
          <w:p w14:paraId="2B0467D4" w14:textId="77777777" w:rsidR="00EC203B" w:rsidRPr="00E00C13" w:rsidRDefault="00EC203B" w:rsidP="00EC203B">
            <w:pPr>
              <w:rPr>
                <w:rFonts w:ascii="Arial" w:hAnsi="Arial" w:cs="Arial"/>
              </w:rPr>
            </w:pPr>
            <w:r>
              <w:rPr>
                <w:rFonts w:ascii="Arial" w:hAnsi="Arial" w:cs="Arial"/>
              </w:rPr>
              <w:t>Benefit Consultant November 10, 2015 Report to the Board</w:t>
            </w:r>
          </w:p>
        </w:tc>
        <w:tc>
          <w:tcPr>
            <w:tcW w:w="5459" w:type="dxa"/>
            <w:shd w:val="clear" w:color="auto" w:fill="C6D9F1" w:themeFill="text2" w:themeFillTint="33"/>
          </w:tcPr>
          <w:p w14:paraId="63100728" w14:textId="77777777" w:rsidR="00EC203B" w:rsidRPr="00E00C13" w:rsidRDefault="00D95407" w:rsidP="00EC203B">
            <w:pPr>
              <w:jc w:val="both"/>
              <w:rPr>
                <w:rFonts w:ascii="Arial" w:hAnsi="Arial" w:cs="Arial"/>
              </w:rPr>
            </w:pPr>
            <w:hyperlink r:id="rId12" w:history="1">
              <w:r w:rsidR="00EC203B" w:rsidRPr="00F358C5">
                <w:rPr>
                  <w:rStyle w:val="Hyperlink"/>
                  <w:rFonts w:ascii="Arial" w:hAnsi="Arial" w:cs="Arial"/>
                </w:rPr>
                <w:t>http://etf.wi.gov/boards/agenda-items-2015/gib1117/item3ar.pdf</w:t>
              </w:r>
            </w:hyperlink>
          </w:p>
        </w:tc>
      </w:tr>
      <w:tr w:rsidR="00EC203B" w:rsidRPr="00273653" w14:paraId="6830EA02" w14:textId="77777777" w:rsidTr="00EC203B">
        <w:tc>
          <w:tcPr>
            <w:tcW w:w="4045" w:type="dxa"/>
            <w:shd w:val="clear" w:color="auto" w:fill="C6D9F1" w:themeFill="text2" w:themeFillTint="33"/>
          </w:tcPr>
          <w:p w14:paraId="143114C3" w14:textId="77777777" w:rsidR="00EC203B" w:rsidRPr="00E00C13" w:rsidRDefault="00EC203B" w:rsidP="00EC203B">
            <w:pPr>
              <w:rPr>
                <w:rFonts w:ascii="Arial" w:hAnsi="Arial" w:cs="Arial"/>
              </w:rPr>
            </w:pPr>
            <w:r>
              <w:rPr>
                <w:rFonts w:ascii="Arial" w:hAnsi="Arial" w:cs="Arial"/>
              </w:rPr>
              <w:t>Office of Strategic Health Policy February 9, 2016 Memo to the Board for Implementation of Benefit Consultant Recommendations</w:t>
            </w:r>
          </w:p>
        </w:tc>
        <w:tc>
          <w:tcPr>
            <w:tcW w:w="5459" w:type="dxa"/>
            <w:shd w:val="clear" w:color="auto" w:fill="C6D9F1" w:themeFill="text2" w:themeFillTint="33"/>
          </w:tcPr>
          <w:p w14:paraId="39F63DA7" w14:textId="77777777" w:rsidR="00EC203B" w:rsidRDefault="00D95407" w:rsidP="00EC203B">
            <w:pPr>
              <w:jc w:val="both"/>
              <w:rPr>
                <w:rFonts w:ascii="Arial" w:hAnsi="Arial" w:cs="Arial"/>
              </w:rPr>
            </w:pPr>
            <w:hyperlink r:id="rId13" w:history="1">
              <w:r w:rsidR="00EC203B" w:rsidRPr="00871262">
                <w:rPr>
                  <w:rStyle w:val="Hyperlink"/>
                  <w:rFonts w:ascii="Arial" w:hAnsi="Arial" w:cs="Arial"/>
                </w:rPr>
                <w:t>http://etf.wi.gov/boards/agenda-items-2016/gib0217/item5c.pdf</w:t>
              </w:r>
            </w:hyperlink>
          </w:p>
          <w:p w14:paraId="36A80E14" w14:textId="77777777" w:rsidR="00EC203B" w:rsidRDefault="00EC203B" w:rsidP="00EC203B">
            <w:pPr>
              <w:jc w:val="both"/>
            </w:pPr>
          </w:p>
        </w:tc>
      </w:tr>
      <w:tr w:rsidR="00EC203B" w:rsidRPr="00273653" w14:paraId="10EAB158" w14:textId="77777777" w:rsidTr="00EC203B">
        <w:tc>
          <w:tcPr>
            <w:tcW w:w="4045" w:type="dxa"/>
            <w:shd w:val="clear" w:color="auto" w:fill="C6D9F1" w:themeFill="text2" w:themeFillTint="33"/>
          </w:tcPr>
          <w:p w14:paraId="378E3947" w14:textId="77777777" w:rsidR="00EC203B" w:rsidRPr="00E00C13" w:rsidRDefault="00EC203B" w:rsidP="00EC203B">
            <w:pPr>
              <w:rPr>
                <w:rFonts w:ascii="Arial" w:hAnsi="Arial" w:cs="Arial"/>
              </w:rPr>
            </w:pPr>
            <w:r w:rsidRPr="00E00C13">
              <w:rPr>
                <w:rFonts w:ascii="Arial" w:hAnsi="Arial" w:cs="Arial"/>
              </w:rPr>
              <w:t>Wisconsin Administrative Code: Chapter ETF 11 Appeals</w:t>
            </w:r>
          </w:p>
        </w:tc>
        <w:tc>
          <w:tcPr>
            <w:tcW w:w="5459" w:type="dxa"/>
            <w:shd w:val="clear" w:color="auto" w:fill="C6D9F1" w:themeFill="text2" w:themeFillTint="33"/>
          </w:tcPr>
          <w:p w14:paraId="66381782" w14:textId="77777777" w:rsidR="00EC203B" w:rsidRPr="00E00C13" w:rsidRDefault="00D95407" w:rsidP="00EC203B">
            <w:pPr>
              <w:jc w:val="both"/>
              <w:rPr>
                <w:rFonts w:ascii="Arial" w:hAnsi="Arial" w:cs="Arial"/>
              </w:rPr>
            </w:pPr>
            <w:hyperlink r:id="rId14" w:history="1">
              <w:r w:rsidR="00EC203B" w:rsidRPr="00E00C13">
                <w:rPr>
                  <w:rStyle w:val="Hyperlink"/>
                  <w:rFonts w:ascii="Arial" w:hAnsi="Arial" w:cs="Arial"/>
                </w:rPr>
                <w:t>http://docs.legis.wisconsin.gov/code/admin_code/etf/11</w:t>
              </w:r>
            </w:hyperlink>
            <w:r w:rsidR="00EC203B" w:rsidRPr="00E00C13">
              <w:rPr>
                <w:rFonts w:ascii="Arial" w:hAnsi="Arial" w:cs="Arial"/>
              </w:rPr>
              <w:t xml:space="preserve"> </w:t>
            </w:r>
          </w:p>
        </w:tc>
      </w:tr>
      <w:tr w:rsidR="00EC203B" w:rsidRPr="00273653" w14:paraId="26644762" w14:textId="77777777" w:rsidTr="00EC203B">
        <w:tc>
          <w:tcPr>
            <w:tcW w:w="4045" w:type="dxa"/>
            <w:shd w:val="clear" w:color="auto" w:fill="C6D9F1" w:themeFill="text2" w:themeFillTint="33"/>
          </w:tcPr>
          <w:p w14:paraId="16A22BA7" w14:textId="3AFB4AF6" w:rsidR="00EC203B" w:rsidRPr="00E00C13" w:rsidRDefault="002A2522" w:rsidP="00EC203B">
            <w:pPr>
              <w:rPr>
                <w:rFonts w:ascii="Arial" w:hAnsi="Arial" w:cs="Arial"/>
              </w:rPr>
            </w:pPr>
            <w:r>
              <w:rPr>
                <w:rFonts w:ascii="Arial" w:hAnsi="Arial" w:cs="Arial"/>
              </w:rPr>
              <w:t>WI State Statutes Chapter</w:t>
            </w:r>
            <w:r w:rsidR="00EC203B" w:rsidRPr="00DC7DC5">
              <w:rPr>
                <w:rFonts w:ascii="Arial" w:hAnsi="Arial" w:cs="Arial"/>
              </w:rPr>
              <w:t xml:space="preserve"> 40</w:t>
            </w:r>
          </w:p>
        </w:tc>
        <w:tc>
          <w:tcPr>
            <w:tcW w:w="5459" w:type="dxa"/>
            <w:shd w:val="clear" w:color="auto" w:fill="C6D9F1" w:themeFill="text2" w:themeFillTint="33"/>
          </w:tcPr>
          <w:p w14:paraId="66715F5C" w14:textId="77777777" w:rsidR="00EC203B" w:rsidRPr="00E07520" w:rsidRDefault="00D95407" w:rsidP="00EC203B">
            <w:pPr>
              <w:jc w:val="both"/>
              <w:rPr>
                <w:rFonts w:ascii="Arial" w:hAnsi="Arial" w:cs="Arial"/>
              </w:rPr>
            </w:pPr>
            <w:hyperlink r:id="rId15" w:history="1">
              <w:r w:rsidR="00EC203B" w:rsidRPr="00770B47">
                <w:rPr>
                  <w:rStyle w:val="Hyperlink"/>
                  <w:rFonts w:ascii="Arial" w:hAnsi="Arial" w:cs="Arial"/>
                </w:rPr>
                <w:t>http://www.legis.state.wi.us/statutes/Stat0040.pdf</w:t>
              </w:r>
            </w:hyperlink>
          </w:p>
        </w:tc>
      </w:tr>
      <w:tr w:rsidR="00EC203B" w:rsidRPr="00273653" w14:paraId="3301CC9C" w14:textId="77777777" w:rsidTr="00EC203B">
        <w:tc>
          <w:tcPr>
            <w:tcW w:w="4045" w:type="dxa"/>
            <w:shd w:val="clear" w:color="auto" w:fill="C6D9F1" w:themeFill="text2" w:themeFillTint="33"/>
          </w:tcPr>
          <w:p w14:paraId="701330D9" w14:textId="6390CA21" w:rsidR="00EC203B" w:rsidRPr="004A1A60" w:rsidRDefault="00EC203B" w:rsidP="003D0A70">
            <w:pPr>
              <w:rPr>
                <w:rFonts w:ascii="Arial" w:hAnsi="Arial" w:cs="Arial"/>
              </w:rPr>
            </w:pPr>
            <w:r>
              <w:rPr>
                <w:rFonts w:ascii="Arial" w:hAnsi="Arial" w:cs="Arial"/>
              </w:rPr>
              <w:t xml:space="preserve">ETF </w:t>
            </w:r>
            <w:r w:rsidR="00C15A94">
              <w:rPr>
                <w:rFonts w:ascii="Arial" w:hAnsi="Arial" w:cs="Arial"/>
              </w:rPr>
              <w:t>Insurance Complaint Information</w:t>
            </w:r>
          </w:p>
        </w:tc>
        <w:tc>
          <w:tcPr>
            <w:tcW w:w="5459" w:type="dxa"/>
            <w:shd w:val="clear" w:color="auto" w:fill="C6D9F1" w:themeFill="text2" w:themeFillTint="33"/>
          </w:tcPr>
          <w:p w14:paraId="2B45E227" w14:textId="77777777" w:rsidR="00EC203B" w:rsidRDefault="00D95407" w:rsidP="00EC203B">
            <w:pPr>
              <w:jc w:val="both"/>
            </w:pPr>
            <w:hyperlink r:id="rId16" w:history="1">
              <w:r w:rsidR="00EC203B" w:rsidRPr="00250C6D">
                <w:rPr>
                  <w:rStyle w:val="Hyperlink"/>
                  <w:rFonts w:ascii="Arial" w:hAnsi="Arial" w:cs="Arial"/>
                </w:rPr>
                <w:t>http://etf.wi.gov/publications/et2405.pdf</w:t>
              </w:r>
            </w:hyperlink>
          </w:p>
        </w:tc>
      </w:tr>
    </w:tbl>
    <w:p w14:paraId="7FFDDB2D" w14:textId="651F2396" w:rsidR="006456A2" w:rsidRPr="00273653" w:rsidRDefault="00443382" w:rsidP="00644C74">
      <w:pPr>
        <w:pStyle w:val="Heading2"/>
        <w:ind w:left="720" w:hanging="720"/>
      </w:pPr>
      <w:r>
        <w:t xml:space="preserve">Future State: </w:t>
      </w:r>
      <w:r w:rsidR="006456A2" w:rsidRPr="00273653">
        <w:t>Project Scope and Objectives</w:t>
      </w:r>
    </w:p>
    <w:p w14:paraId="6B9D15B5" w14:textId="67E8EB33" w:rsidR="00D7552A" w:rsidRPr="00D7552A" w:rsidRDefault="00D7552A" w:rsidP="00D7552A">
      <w:pPr>
        <w:rPr>
          <w:rFonts w:ascii="Arial" w:hAnsi="Arial" w:cs="Arial"/>
        </w:rPr>
      </w:pPr>
      <w:r w:rsidRPr="00D7552A">
        <w:rPr>
          <w:rFonts w:ascii="Arial" w:hAnsi="Arial" w:cs="Arial"/>
        </w:rPr>
        <w:t xml:space="preserve">In an effort to contain future cost increases and to improve the health of </w:t>
      </w:r>
      <w:r w:rsidR="00E46012">
        <w:rPr>
          <w:rFonts w:ascii="Arial" w:hAnsi="Arial" w:cs="Arial"/>
        </w:rPr>
        <w:t>Member</w:t>
      </w:r>
      <w:r w:rsidR="00E46012" w:rsidRPr="00D7552A">
        <w:rPr>
          <w:rFonts w:ascii="Arial" w:hAnsi="Arial" w:cs="Arial"/>
        </w:rPr>
        <w:t>s</w:t>
      </w:r>
      <w:r w:rsidRPr="00D7552A">
        <w:rPr>
          <w:rFonts w:ascii="Arial" w:hAnsi="Arial" w:cs="Arial"/>
        </w:rPr>
        <w:t xml:space="preserve">, ETF and the Board are seeking an innovative </w:t>
      </w:r>
      <w:r w:rsidR="00F6696B">
        <w:rPr>
          <w:rFonts w:ascii="Arial" w:hAnsi="Arial" w:cs="Arial"/>
        </w:rPr>
        <w:t>V</w:t>
      </w:r>
      <w:r w:rsidRPr="00D7552A">
        <w:rPr>
          <w:rFonts w:ascii="Arial" w:hAnsi="Arial" w:cs="Arial"/>
        </w:rPr>
        <w:t xml:space="preserve">endor who </w:t>
      </w:r>
      <w:r w:rsidR="003A5B9C">
        <w:rPr>
          <w:rFonts w:ascii="Arial" w:hAnsi="Arial" w:cs="Arial"/>
        </w:rPr>
        <w:t xml:space="preserve">has a proven track record and capabilities to seamlessly service an account </w:t>
      </w:r>
      <w:r w:rsidR="002072C2">
        <w:rPr>
          <w:rFonts w:ascii="Arial" w:hAnsi="Arial" w:cs="Arial"/>
        </w:rPr>
        <w:t xml:space="preserve">the </w:t>
      </w:r>
      <w:r w:rsidR="00EB77ED">
        <w:rPr>
          <w:rFonts w:ascii="Arial" w:hAnsi="Arial" w:cs="Arial"/>
        </w:rPr>
        <w:t xml:space="preserve">size of the </w:t>
      </w:r>
      <w:r w:rsidR="002072C2">
        <w:rPr>
          <w:rFonts w:ascii="Arial" w:hAnsi="Arial" w:cs="Arial"/>
        </w:rPr>
        <w:t>State’s</w:t>
      </w:r>
      <w:r w:rsidR="003A5B9C">
        <w:rPr>
          <w:rFonts w:ascii="Arial" w:hAnsi="Arial" w:cs="Arial"/>
        </w:rPr>
        <w:t xml:space="preserve"> </w:t>
      </w:r>
      <w:r w:rsidR="00EB77ED">
        <w:rPr>
          <w:rFonts w:ascii="Arial" w:hAnsi="Arial" w:cs="Arial"/>
        </w:rPr>
        <w:t xml:space="preserve">program </w:t>
      </w:r>
      <w:r w:rsidR="003A5B9C">
        <w:rPr>
          <w:rFonts w:ascii="Arial" w:hAnsi="Arial" w:cs="Arial"/>
        </w:rPr>
        <w:t xml:space="preserve">and </w:t>
      </w:r>
      <w:r w:rsidR="00EB77ED">
        <w:rPr>
          <w:rFonts w:ascii="Arial" w:hAnsi="Arial" w:cs="Arial"/>
        </w:rPr>
        <w:t xml:space="preserve">its </w:t>
      </w:r>
      <w:r w:rsidR="003A5B9C">
        <w:rPr>
          <w:rFonts w:ascii="Arial" w:hAnsi="Arial" w:cs="Arial"/>
        </w:rPr>
        <w:t>location diversity</w:t>
      </w:r>
      <w:r w:rsidR="002072C2">
        <w:rPr>
          <w:rFonts w:ascii="Arial" w:hAnsi="Arial" w:cs="Arial"/>
        </w:rPr>
        <w:t xml:space="preserve">; a Vendor that </w:t>
      </w:r>
      <w:r w:rsidRPr="00D7552A">
        <w:rPr>
          <w:rFonts w:ascii="Arial" w:hAnsi="Arial" w:cs="Arial"/>
        </w:rPr>
        <w:t xml:space="preserve">will administer the current Well Wisconsin </w:t>
      </w:r>
      <w:r w:rsidR="00F6696B">
        <w:rPr>
          <w:rFonts w:ascii="Arial" w:hAnsi="Arial" w:cs="Arial"/>
        </w:rPr>
        <w:t>i</w:t>
      </w:r>
      <w:r w:rsidRPr="00D7552A">
        <w:rPr>
          <w:rFonts w:ascii="Arial" w:hAnsi="Arial" w:cs="Arial"/>
        </w:rPr>
        <w:t>ncentive program and be a strategic partner in implementing the Total Health Management model presented by Segal to the Board in November of 2015. Complex care management programs will continue to be a component of the health plan contracts with the Board, but ETF sees the value in being able to provide disease management coaching, education and resources at the time of engagement with the Well Wisconsin program</w:t>
      </w:r>
      <w:r w:rsidR="003A5B9C">
        <w:rPr>
          <w:rFonts w:ascii="Arial" w:hAnsi="Arial" w:cs="Arial"/>
        </w:rPr>
        <w:t xml:space="preserve">, and on an </w:t>
      </w:r>
      <w:r w:rsidR="002072C2">
        <w:rPr>
          <w:rFonts w:ascii="Arial" w:hAnsi="Arial" w:cs="Arial"/>
        </w:rPr>
        <w:t>on-</w:t>
      </w:r>
      <w:r w:rsidR="003A5B9C">
        <w:rPr>
          <w:rFonts w:ascii="Arial" w:hAnsi="Arial" w:cs="Arial"/>
        </w:rPr>
        <w:t>going basis</w:t>
      </w:r>
      <w:r w:rsidRPr="00D7552A">
        <w:rPr>
          <w:rFonts w:ascii="Arial" w:hAnsi="Arial" w:cs="Arial"/>
        </w:rPr>
        <w:t xml:space="preserve">. This, along with a future medical benefit designed to support and incent active </w:t>
      </w:r>
      <w:r w:rsidR="002A2522">
        <w:rPr>
          <w:rFonts w:ascii="Arial" w:hAnsi="Arial" w:cs="Arial"/>
        </w:rPr>
        <w:t>health</w:t>
      </w:r>
      <w:r w:rsidRPr="00D7552A">
        <w:rPr>
          <w:rFonts w:ascii="Arial" w:hAnsi="Arial" w:cs="Arial"/>
        </w:rPr>
        <w:t xml:space="preserve"> management by the individual, providers and health plans, will lead to improved health outcomes and impact future costs.</w:t>
      </w:r>
    </w:p>
    <w:p w14:paraId="36472712" w14:textId="17D83D33" w:rsidR="00EF3371" w:rsidRDefault="00EF3371" w:rsidP="00EF3371">
      <w:pPr>
        <w:rPr>
          <w:rFonts w:ascii="Arial" w:hAnsi="Arial" w:cs="Arial"/>
        </w:rPr>
      </w:pPr>
      <w:r>
        <w:rPr>
          <w:rFonts w:ascii="Arial" w:hAnsi="Arial" w:cs="Arial"/>
        </w:rPr>
        <w:t xml:space="preserve">The </w:t>
      </w:r>
      <w:r w:rsidR="00F81C89">
        <w:rPr>
          <w:rFonts w:ascii="Arial" w:hAnsi="Arial" w:cs="Arial"/>
        </w:rPr>
        <w:t>P</w:t>
      </w:r>
      <w:r>
        <w:rPr>
          <w:rFonts w:ascii="Arial" w:hAnsi="Arial" w:cs="Arial"/>
        </w:rPr>
        <w:t>roposer must</w:t>
      </w:r>
      <w:r w:rsidR="005B1CBB">
        <w:rPr>
          <w:rFonts w:ascii="Arial" w:hAnsi="Arial" w:cs="Arial"/>
        </w:rPr>
        <w:t>:</w:t>
      </w:r>
      <w:r>
        <w:rPr>
          <w:rFonts w:ascii="Arial" w:hAnsi="Arial" w:cs="Arial"/>
        </w:rPr>
        <w:t xml:space="preserve"> </w:t>
      </w:r>
    </w:p>
    <w:p w14:paraId="5C7A2CBA" w14:textId="77777777" w:rsidR="00690925" w:rsidRPr="005B1CBB" w:rsidRDefault="00690925" w:rsidP="00690925">
      <w:pPr>
        <w:numPr>
          <w:ilvl w:val="0"/>
          <w:numId w:val="10"/>
        </w:numPr>
        <w:rPr>
          <w:rFonts w:ascii="Arial" w:hAnsi="Arial" w:cs="Arial"/>
        </w:rPr>
      </w:pPr>
      <w:r>
        <w:rPr>
          <w:rFonts w:ascii="Arial" w:hAnsi="Arial" w:cs="Arial"/>
        </w:rPr>
        <w:t>Be</w:t>
      </w:r>
      <w:r w:rsidRPr="005B1CBB">
        <w:rPr>
          <w:rFonts w:ascii="Arial" w:hAnsi="Arial" w:cs="Arial"/>
        </w:rPr>
        <w:t xml:space="preserve"> a strategic partner to ETF and the Board in wellness </w:t>
      </w:r>
      <w:r>
        <w:rPr>
          <w:rFonts w:ascii="Arial" w:hAnsi="Arial" w:cs="Arial"/>
        </w:rPr>
        <w:t xml:space="preserve">and disease management </w:t>
      </w:r>
      <w:r w:rsidRPr="005B1CBB">
        <w:rPr>
          <w:rFonts w:ascii="Arial" w:hAnsi="Arial" w:cs="Arial"/>
        </w:rPr>
        <w:t>planning and strategic program and policy development;</w:t>
      </w:r>
    </w:p>
    <w:p w14:paraId="4E8FB26E" w14:textId="0FADC53B" w:rsidR="005B1CBB" w:rsidRPr="005B1CBB" w:rsidRDefault="005B1CBB" w:rsidP="00862E04">
      <w:pPr>
        <w:numPr>
          <w:ilvl w:val="0"/>
          <w:numId w:val="10"/>
        </w:numPr>
        <w:rPr>
          <w:rFonts w:ascii="Arial" w:hAnsi="Arial" w:cs="Arial"/>
        </w:rPr>
      </w:pPr>
      <w:r w:rsidRPr="005B1CBB">
        <w:rPr>
          <w:rFonts w:ascii="Arial" w:hAnsi="Arial" w:cs="Arial"/>
        </w:rPr>
        <w:t>Administ</w:t>
      </w:r>
      <w:r>
        <w:rPr>
          <w:rFonts w:ascii="Arial" w:hAnsi="Arial" w:cs="Arial"/>
        </w:rPr>
        <w:t xml:space="preserve">er </w:t>
      </w:r>
      <w:r w:rsidRPr="005B1CBB">
        <w:rPr>
          <w:rFonts w:ascii="Arial" w:hAnsi="Arial" w:cs="Arial"/>
        </w:rPr>
        <w:t>the current Well Wisconsin program</w:t>
      </w:r>
      <w:r w:rsidR="00914E4D">
        <w:rPr>
          <w:rFonts w:ascii="Arial" w:hAnsi="Arial" w:cs="Arial"/>
        </w:rPr>
        <w:t>, including administration</w:t>
      </w:r>
      <w:r w:rsidR="002F7B94">
        <w:rPr>
          <w:rFonts w:ascii="Arial" w:hAnsi="Arial" w:cs="Arial"/>
        </w:rPr>
        <w:t xml:space="preserve"> of</w:t>
      </w:r>
      <w:r w:rsidR="00914E4D">
        <w:rPr>
          <w:rFonts w:ascii="Arial" w:hAnsi="Arial" w:cs="Arial"/>
        </w:rPr>
        <w:t xml:space="preserve"> </w:t>
      </w:r>
      <w:r w:rsidR="006A5F95">
        <w:rPr>
          <w:rFonts w:ascii="Arial" w:hAnsi="Arial" w:cs="Arial"/>
        </w:rPr>
        <w:t xml:space="preserve">a health risk assessment, </w:t>
      </w:r>
      <w:r w:rsidR="00914E4D">
        <w:rPr>
          <w:rFonts w:ascii="Arial" w:hAnsi="Arial" w:cs="Arial"/>
        </w:rPr>
        <w:t>the current cash incentive and coordination of the statewide biometric screenings</w:t>
      </w:r>
      <w:r>
        <w:rPr>
          <w:rFonts w:ascii="Arial" w:hAnsi="Arial" w:cs="Arial"/>
        </w:rPr>
        <w:t>;</w:t>
      </w:r>
    </w:p>
    <w:p w14:paraId="79BD159A" w14:textId="6D94012E" w:rsidR="005B1CBB" w:rsidRPr="005B1CBB" w:rsidRDefault="005B1CBB" w:rsidP="00862E04">
      <w:pPr>
        <w:numPr>
          <w:ilvl w:val="0"/>
          <w:numId w:val="10"/>
        </w:numPr>
        <w:rPr>
          <w:rFonts w:ascii="Arial" w:hAnsi="Arial" w:cs="Arial"/>
        </w:rPr>
      </w:pPr>
      <w:r w:rsidRPr="005B1CBB">
        <w:rPr>
          <w:rFonts w:ascii="Arial" w:hAnsi="Arial" w:cs="Arial"/>
        </w:rPr>
        <w:t xml:space="preserve">Develop and maintain a user friendly, </w:t>
      </w:r>
      <w:r w:rsidR="008A69C2">
        <w:rPr>
          <w:rFonts w:ascii="Arial" w:hAnsi="Arial" w:cs="Arial"/>
        </w:rPr>
        <w:t xml:space="preserve">tailored, engaging and </w:t>
      </w:r>
      <w:r w:rsidRPr="005B1CBB">
        <w:rPr>
          <w:rFonts w:ascii="Arial" w:hAnsi="Arial" w:cs="Arial"/>
        </w:rPr>
        <w:t>secure</w:t>
      </w:r>
      <w:r w:rsidR="008A69C2">
        <w:rPr>
          <w:rFonts w:ascii="Arial" w:hAnsi="Arial" w:cs="Arial"/>
        </w:rPr>
        <w:t xml:space="preserve"> </w:t>
      </w:r>
      <w:r w:rsidR="008C379A">
        <w:rPr>
          <w:rFonts w:ascii="Arial" w:hAnsi="Arial" w:cs="Arial"/>
        </w:rPr>
        <w:t>web-portal</w:t>
      </w:r>
      <w:r w:rsidRPr="005B1CBB">
        <w:rPr>
          <w:rFonts w:ascii="Arial" w:hAnsi="Arial" w:cs="Arial"/>
        </w:rPr>
        <w:t xml:space="preserve"> for wellness</w:t>
      </w:r>
      <w:r w:rsidR="00B4181E">
        <w:rPr>
          <w:rFonts w:ascii="Arial" w:hAnsi="Arial" w:cs="Arial"/>
        </w:rPr>
        <w:t xml:space="preserve"> and disease management</w:t>
      </w:r>
      <w:r w:rsidRPr="005B1CBB">
        <w:rPr>
          <w:rFonts w:ascii="Arial" w:hAnsi="Arial" w:cs="Arial"/>
        </w:rPr>
        <w:t xml:space="preserve"> program </w:t>
      </w:r>
      <w:r w:rsidR="00E46012">
        <w:rPr>
          <w:rFonts w:ascii="Arial" w:hAnsi="Arial" w:cs="Arial"/>
        </w:rPr>
        <w:t>Member</w:t>
      </w:r>
      <w:r w:rsidR="00E46012" w:rsidRPr="005B1CBB">
        <w:rPr>
          <w:rFonts w:ascii="Arial" w:hAnsi="Arial" w:cs="Arial"/>
        </w:rPr>
        <w:t xml:space="preserve">s </w:t>
      </w:r>
      <w:r w:rsidRPr="005B1CBB">
        <w:rPr>
          <w:rFonts w:ascii="Arial" w:hAnsi="Arial" w:cs="Arial"/>
        </w:rPr>
        <w:t>and ETF program administrators;</w:t>
      </w:r>
    </w:p>
    <w:p w14:paraId="65F2A782" w14:textId="1F2EFCF9" w:rsidR="005B1CBB" w:rsidRPr="005B1CBB" w:rsidRDefault="005B1CBB" w:rsidP="00862E04">
      <w:pPr>
        <w:numPr>
          <w:ilvl w:val="0"/>
          <w:numId w:val="10"/>
        </w:numPr>
        <w:rPr>
          <w:rFonts w:ascii="Arial" w:hAnsi="Arial" w:cs="Arial"/>
        </w:rPr>
      </w:pPr>
      <w:r w:rsidRPr="005B1CBB">
        <w:rPr>
          <w:rFonts w:ascii="Arial" w:hAnsi="Arial" w:cs="Arial"/>
        </w:rPr>
        <w:lastRenderedPageBreak/>
        <w:t>Provid</w:t>
      </w:r>
      <w:r>
        <w:rPr>
          <w:rFonts w:ascii="Arial" w:hAnsi="Arial" w:cs="Arial"/>
        </w:rPr>
        <w:t>e</w:t>
      </w:r>
      <w:r w:rsidRPr="005B1CBB">
        <w:rPr>
          <w:rFonts w:ascii="Arial" w:hAnsi="Arial" w:cs="Arial"/>
        </w:rPr>
        <w:t xml:space="preserve"> a dynamic</w:t>
      </w:r>
      <w:r w:rsidR="008A69C2">
        <w:rPr>
          <w:rFonts w:ascii="Arial" w:hAnsi="Arial" w:cs="Arial"/>
        </w:rPr>
        <w:t>, easily accessible</w:t>
      </w:r>
      <w:r w:rsidRPr="005B1CBB">
        <w:rPr>
          <w:rFonts w:ascii="Arial" w:hAnsi="Arial" w:cs="Arial"/>
        </w:rPr>
        <w:t xml:space="preserve"> Participant points or scorecard system to track requirements for the </w:t>
      </w:r>
      <w:r w:rsidR="002F7B94">
        <w:rPr>
          <w:rFonts w:ascii="Arial" w:hAnsi="Arial" w:cs="Arial"/>
        </w:rPr>
        <w:t xml:space="preserve">programs offered as part of </w:t>
      </w:r>
      <w:r w:rsidR="00D75670" w:rsidRPr="00435511">
        <w:rPr>
          <w:rFonts w:ascii="Arial" w:hAnsi="Arial" w:cs="Arial"/>
        </w:rPr>
        <w:t xml:space="preserve">the </w:t>
      </w:r>
      <w:r w:rsidR="00D75670">
        <w:rPr>
          <w:rFonts w:ascii="Arial" w:hAnsi="Arial" w:cs="Arial"/>
        </w:rPr>
        <w:t>GHIP/WPE programs</w:t>
      </w:r>
      <w:r w:rsidRPr="005B1CBB">
        <w:rPr>
          <w:rFonts w:ascii="Arial" w:hAnsi="Arial" w:cs="Arial"/>
        </w:rPr>
        <w:t>;</w:t>
      </w:r>
    </w:p>
    <w:p w14:paraId="106F6D7C" w14:textId="096641FA" w:rsidR="005B1CBB" w:rsidRPr="005B1CBB" w:rsidRDefault="005B1CBB" w:rsidP="00862E04">
      <w:pPr>
        <w:numPr>
          <w:ilvl w:val="0"/>
          <w:numId w:val="10"/>
        </w:numPr>
        <w:rPr>
          <w:rFonts w:ascii="Arial" w:hAnsi="Arial" w:cs="Arial"/>
        </w:rPr>
      </w:pPr>
      <w:r w:rsidRPr="005B1CBB">
        <w:rPr>
          <w:rFonts w:ascii="Arial" w:hAnsi="Arial" w:cs="Arial"/>
        </w:rPr>
        <w:t>Develop and administer an easy</w:t>
      </w:r>
      <w:r w:rsidR="002F7B94">
        <w:rPr>
          <w:rFonts w:ascii="Arial" w:hAnsi="Arial" w:cs="Arial"/>
        </w:rPr>
        <w:t>-</w:t>
      </w:r>
      <w:r w:rsidRPr="005B1CBB">
        <w:rPr>
          <w:rFonts w:ascii="Arial" w:hAnsi="Arial" w:cs="Arial"/>
        </w:rPr>
        <w:t>to</w:t>
      </w:r>
      <w:r w:rsidR="002F7B94">
        <w:rPr>
          <w:rFonts w:ascii="Arial" w:hAnsi="Arial" w:cs="Arial"/>
        </w:rPr>
        <w:t>-</w:t>
      </w:r>
      <w:r w:rsidR="002A2522">
        <w:rPr>
          <w:rFonts w:ascii="Arial" w:hAnsi="Arial" w:cs="Arial"/>
        </w:rPr>
        <w:t>complete evidenced-</w:t>
      </w:r>
      <w:r w:rsidRPr="005B1CBB">
        <w:rPr>
          <w:rFonts w:ascii="Arial" w:hAnsi="Arial" w:cs="Arial"/>
        </w:rPr>
        <w:t>based health risk assessment that measures the ETF population’s modifiable health risk behaviors, stratifies risk</w:t>
      </w:r>
      <w:r w:rsidR="002F7B94">
        <w:rPr>
          <w:rFonts w:ascii="Arial" w:hAnsi="Arial" w:cs="Arial"/>
        </w:rPr>
        <w:t>,</w:t>
      </w:r>
      <w:r w:rsidRPr="005B1CBB">
        <w:rPr>
          <w:rFonts w:ascii="Arial" w:hAnsi="Arial" w:cs="Arial"/>
        </w:rPr>
        <w:t xml:space="preserve"> and identifies willingness to c</w:t>
      </w:r>
      <w:r w:rsidR="002A2522">
        <w:rPr>
          <w:rFonts w:ascii="Arial" w:hAnsi="Arial" w:cs="Arial"/>
        </w:rPr>
        <w:t>hange behaviors</w:t>
      </w:r>
      <w:r w:rsidRPr="005B1CBB">
        <w:rPr>
          <w:rFonts w:ascii="Arial" w:hAnsi="Arial" w:cs="Arial"/>
        </w:rPr>
        <w:t>;</w:t>
      </w:r>
    </w:p>
    <w:p w14:paraId="1DC7DA55" w14:textId="40020244" w:rsidR="005B1CBB" w:rsidRPr="005B1CBB" w:rsidRDefault="005B1CBB" w:rsidP="00862E04">
      <w:pPr>
        <w:numPr>
          <w:ilvl w:val="0"/>
          <w:numId w:val="10"/>
        </w:numPr>
        <w:rPr>
          <w:rFonts w:ascii="Arial" w:hAnsi="Arial" w:cs="Arial"/>
        </w:rPr>
      </w:pPr>
      <w:r w:rsidRPr="005B1CBB">
        <w:rPr>
          <w:rFonts w:ascii="Arial" w:hAnsi="Arial" w:cs="Arial"/>
        </w:rPr>
        <w:t>Provid</w:t>
      </w:r>
      <w:r>
        <w:rPr>
          <w:rFonts w:ascii="Arial" w:hAnsi="Arial" w:cs="Arial"/>
        </w:rPr>
        <w:t>e</w:t>
      </w:r>
      <w:r w:rsidRPr="005B1CBB">
        <w:rPr>
          <w:rFonts w:ascii="Arial" w:hAnsi="Arial" w:cs="Arial"/>
        </w:rPr>
        <w:t xml:space="preserve"> engaging and effective follow</w:t>
      </w:r>
      <w:r w:rsidR="00690925">
        <w:rPr>
          <w:rFonts w:ascii="Arial" w:hAnsi="Arial" w:cs="Arial"/>
        </w:rPr>
        <w:t>-</w:t>
      </w:r>
      <w:r w:rsidRPr="005B1CBB">
        <w:rPr>
          <w:rFonts w:ascii="Arial" w:hAnsi="Arial" w:cs="Arial"/>
        </w:rPr>
        <w:t>up services to Participants</w:t>
      </w:r>
      <w:r w:rsidR="002A2522">
        <w:rPr>
          <w:rFonts w:ascii="Arial" w:hAnsi="Arial" w:cs="Arial"/>
        </w:rPr>
        <w:t>,</w:t>
      </w:r>
      <w:r w:rsidRPr="005B1CBB">
        <w:rPr>
          <w:rFonts w:ascii="Arial" w:hAnsi="Arial" w:cs="Arial"/>
        </w:rPr>
        <w:t xml:space="preserve"> </w:t>
      </w:r>
      <w:r w:rsidR="002A2522">
        <w:rPr>
          <w:rFonts w:ascii="Arial" w:hAnsi="Arial" w:cs="Arial"/>
        </w:rPr>
        <w:t>such as health coaching and web-</w:t>
      </w:r>
      <w:r w:rsidRPr="005B1CBB">
        <w:rPr>
          <w:rFonts w:ascii="Arial" w:hAnsi="Arial" w:cs="Arial"/>
        </w:rPr>
        <w:t>based tools and challenges;</w:t>
      </w:r>
    </w:p>
    <w:p w14:paraId="170FAFC5" w14:textId="24910D4C" w:rsidR="005B1CBB" w:rsidRPr="005B1CBB" w:rsidRDefault="005B1CBB" w:rsidP="00862E04">
      <w:pPr>
        <w:numPr>
          <w:ilvl w:val="0"/>
          <w:numId w:val="10"/>
        </w:numPr>
        <w:rPr>
          <w:rFonts w:ascii="Arial" w:hAnsi="Arial" w:cs="Arial"/>
        </w:rPr>
      </w:pPr>
      <w:r w:rsidRPr="005B1CBB">
        <w:rPr>
          <w:rFonts w:ascii="Arial" w:hAnsi="Arial" w:cs="Arial"/>
        </w:rPr>
        <w:t>Provid</w:t>
      </w:r>
      <w:r>
        <w:rPr>
          <w:rFonts w:ascii="Arial" w:hAnsi="Arial" w:cs="Arial"/>
        </w:rPr>
        <w:t>e</w:t>
      </w:r>
      <w:r w:rsidRPr="005B1CBB">
        <w:rPr>
          <w:rFonts w:ascii="Arial" w:hAnsi="Arial" w:cs="Arial"/>
        </w:rPr>
        <w:t xml:space="preserve"> </w:t>
      </w:r>
      <w:r w:rsidR="00690925">
        <w:rPr>
          <w:rFonts w:ascii="Arial" w:hAnsi="Arial" w:cs="Arial"/>
        </w:rPr>
        <w:t xml:space="preserve">an </w:t>
      </w:r>
      <w:r w:rsidRPr="005B1CBB">
        <w:rPr>
          <w:rFonts w:ascii="Arial" w:hAnsi="Arial" w:cs="Arial"/>
        </w:rPr>
        <w:t xml:space="preserve">engaging and effective </w:t>
      </w:r>
      <w:r w:rsidR="00FD5D97">
        <w:rPr>
          <w:rFonts w:ascii="Arial" w:hAnsi="Arial" w:cs="Arial"/>
        </w:rPr>
        <w:t>d</w:t>
      </w:r>
      <w:r w:rsidRPr="005B1CBB">
        <w:rPr>
          <w:rFonts w:ascii="Arial" w:hAnsi="Arial" w:cs="Arial"/>
        </w:rPr>
        <w:t xml:space="preserve">isease </w:t>
      </w:r>
      <w:r w:rsidR="00FD5D97">
        <w:rPr>
          <w:rFonts w:ascii="Arial" w:hAnsi="Arial" w:cs="Arial"/>
        </w:rPr>
        <w:t>m</w:t>
      </w:r>
      <w:r w:rsidRPr="005B1CBB">
        <w:rPr>
          <w:rFonts w:ascii="Arial" w:hAnsi="Arial" w:cs="Arial"/>
        </w:rPr>
        <w:t>anagement program</w:t>
      </w:r>
      <w:r w:rsidR="00FA5B88">
        <w:rPr>
          <w:rFonts w:ascii="Arial" w:hAnsi="Arial" w:cs="Arial"/>
        </w:rPr>
        <w:t xml:space="preserve">, that is compatible with the uniform benefits offered by </w:t>
      </w:r>
      <w:r w:rsidR="00D75670" w:rsidRPr="00435511">
        <w:rPr>
          <w:rFonts w:ascii="Arial" w:hAnsi="Arial" w:cs="Arial"/>
        </w:rPr>
        <w:t xml:space="preserve">the </w:t>
      </w:r>
      <w:r w:rsidR="00D75670">
        <w:rPr>
          <w:rFonts w:ascii="Arial" w:hAnsi="Arial" w:cs="Arial"/>
        </w:rPr>
        <w:t>GHIP/WPE programs</w:t>
      </w:r>
      <w:r w:rsidR="00FA5B88">
        <w:rPr>
          <w:rFonts w:ascii="Arial" w:hAnsi="Arial" w:cs="Arial"/>
        </w:rPr>
        <w:t>,</w:t>
      </w:r>
      <w:r w:rsidR="006A5F95">
        <w:rPr>
          <w:rFonts w:ascii="Arial" w:hAnsi="Arial" w:cs="Arial"/>
        </w:rPr>
        <w:t xml:space="preserve"> using program and claims data</w:t>
      </w:r>
      <w:r w:rsidRPr="005B1CBB">
        <w:rPr>
          <w:rFonts w:ascii="Arial" w:hAnsi="Arial" w:cs="Arial"/>
        </w:rPr>
        <w:t>;</w:t>
      </w:r>
    </w:p>
    <w:p w14:paraId="00193FC2" w14:textId="6BB7E609" w:rsidR="005B1CBB" w:rsidRPr="00104A41" w:rsidRDefault="005B1CBB" w:rsidP="00104A41">
      <w:pPr>
        <w:numPr>
          <w:ilvl w:val="0"/>
          <w:numId w:val="10"/>
        </w:numPr>
        <w:rPr>
          <w:rFonts w:ascii="Arial" w:hAnsi="Arial" w:cs="Arial"/>
        </w:rPr>
      </w:pPr>
      <w:r w:rsidRPr="00104A41">
        <w:rPr>
          <w:rFonts w:ascii="Arial" w:hAnsi="Arial" w:cs="Arial"/>
        </w:rPr>
        <w:t xml:space="preserve">Market and promote the </w:t>
      </w:r>
      <w:r w:rsidR="00104A41" w:rsidRPr="00104A41">
        <w:rPr>
          <w:rFonts w:ascii="Arial" w:hAnsi="Arial" w:cs="Arial"/>
        </w:rPr>
        <w:t xml:space="preserve">wellness and disease management </w:t>
      </w:r>
      <w:r w:rsidRPr="00104A41">
        <w:rPr>
          <w:rFonts w:ascii="Arial" w:hAnsi="Arial" w:cs="Arial"/>
        </w:rPr>
        <w:t>program</w:t>
      </w:r>
      <w:r w:rsidR="00104A41" w:rsidRPr="00104A41">
        <w:rPr>
          <w:rFonts w:ascii="Arial" w:hAnsi="Arial" w:cs="Arial"/>
        </w:rPr>
        <w:t>s</w:t>
      </w:r>
      <w:r w:rsidRPr="00104A41">
        <w:rPr>
          <w:rFonts w:ascii="Arial" w:hAnsi="Arial" w:cs="Arial"/>
        </w:rPr>
        <w:t xml:space="preserve"> to eligible </w:t>
      </w:r>
      <w:r w:rsidR="00E46012">
        <w:rPr>
          <w:rFonts w:ascii="Arial" w:hAnsi="Arial" w:cs="Arial"/>
        </w:rPr>
        <w:t>Members</w:t>
      </w:r>
      <w:r w:rsidR="00761200">
        <w:rPr>
          <w:rFonts w:ascii="Arial" w:hAnsi="Arial" w:cs="Arial"/>
        </w:rPr>
        <w:t>; and,</w:t>
      </w:r>
    </w:p>
    <w:p w14:paraId="0BD65522" w14:textId="0A35A798" w:rsidR="005B1CBB" w:rsidRPr="00B079F5" w:rsidRDefault="005B1CBB" w:rsidP="00EF3371">
      <w:pPr>
        <w:numPr>
          <w:ilvl w:val="0"/>
          <w:numId w:val="10"/>
        </w:numPr>
        <w:rPr>
          <w:rFonts w:ascii="Arial" w:hAnsi="Arial" w:cs="Arial"/>
        </w:rPr>
      </w:pPr>
      <w:r>
        <w:rPr>
          <w:rFonts w:ascii="Arial" w:hAnsi="Arial" w:cs="Arial"/>
        </w:rPr>
        <w:t>Evaluate</w:t>
      </w:r>
      <w:r w:rsidRPr="005B1CBB">
        <w:rPr>
          <w:rFonts w:ascii="Arial" w:hAnsi="Arial" w:cs="Arial"/>
        </w:rPr>
        <w:t xml:space="preserve"> </w:t>
      </w:r>
      <w:r w:rsidR="002F7B94">
        <w:rPr>
          <w:rFonts w:ascii="Arial" w:hAnsi="Arial" w:cs="Arial"/>
        </w:rPr>
        <w:t xml:space="preserve">and report on </w:t>
      </w:r>
      <w:r w:rsidRPr="005B1CBB">
        <w:rPr>
          <w:rFonts w:ascii="Arial" w:hAnsi="Arial" w:cs="Arial"/>
        </w:rPr>
        <w:t>program engagement rates and effect on health outcomes</w:t>
      </w:r>
      <w:r w:rsidR="008A69C2">
        <w:rPr>
          <w:rFonts w:ascii="Arial" w:hAnsi="Arial" w:cs="Arial"/>
        </w:rPr>
        <w:t xml:space="preserve"> and program costs</w:t>
      </w:r>
      <w:r w:rsidR="006A5F95">
        <w:rPr>
          <w:rFonts w:ascii="Arial" w:hAnsi="Arial" w:cs="Arial"/>
        </w:rPr>
        <w:t xml:space="preserve">. </w:t>
      </w:r>
    </w:p>
    <w:p w14:paraId="4DFF930E" w14:textId="1778D877" w:rsidR="00B079F5" w:rsidRPr="00D7552A" w:rsidRDefault="00B079F5" w:rsidP="00B079F5">
      <w:pPr>
        <w:rPr>
          <w:rFonts w:ascii="Arial" w:hAnsi="Arial" w:cs="Arial"/>
        </w:rPr>
      </w:pPr>
      <w:r w:rsidRPr="00D7552A">
        <w:rPr>
          <w:rFonts w:ascii="Arial" w:hAnsi="Arial" w:cs="Arial"/>
        </w:rPr>
        <w:t>At this time</w:t>
      </w:r>
      <w:r w:rsidR="002A2522">
        <w:rPr>
          <w:rFonts w:ascii="Arial" w:hAnsi="Arial" w:cs="Arial"/>
        </w:rPr>
        <w:t>,</w:t>
      </w:r>
      <w:r w:rsidRPr="00D7552A">
        <w:rPr>
          <w:rFonts w:ascii="Arial" w:hAnsi="Arial" w:cs="Arial"/>
        </w:rPr>
        <w:t xml:space="preserve"> the following phased</w:t>
      </w:r>
      <w:r w:rsidR="00104A41">
        <w:rPr>
          <w:rFonts w:ascii="Arial" w:hAnsi="Arial" w:cs="Arial"/>
        </w:rPr>
        <w:t>-</w:t>
      </w:r>
      <w:r w:rsidRPr="00D7552A">
        <w:rPr>
          <w:rFonts w:ascii="Arial" w:hAnsi="Arial" w:cs="Arial"/>
        </w:rPr>
        <w:t xml:space="preserve">in approach for wellness and disease management programs is anticipated. The actual timing will not be known until final decisions </w:t>
      </w:r>
      <w:r w:rsidR="008A69C2">
        <w:rPr>
          <w:rFonts w:ascii="Arial" w:hAnsi="Arial" w:cs="Arial"/>
        </w:rPr>
        <w:t>are made</w:t>
      </w:r>
      <w:r w:rsidR="008A69C2" w:rsidRPr="00D7552A">
        <w:rPr>
          <w:rFonts w:ascii="Arial" w:hAnsi="Arial" w:cs="Arial"/>
        </w:rPr>
        <w:t xml:space="preserve"> </w:t>
      </w:r>
      <w:r w:rsidRPr="00D7552A">
        <w:rPr>
          <w:rFonts w:ascii="Arial" w:hAnsi="Arial" w:cs="Arial"/>
        </w:rPr>
        <w:t>by the Board, and the results of additional procurement activities</w:t>
      </w:r>
      <w:r w:rsidR="002A2522">
        <w:rPr>
          <w:rFonts w:ascii="Arial" w:hAnsi="Arial" w:cs="Arial"/>
        </w:rPr>
        <w:t xml:space="preserve"> are finalized</w:t>
      </w:r>
      <w:r w:rsidRPr="00D7552A">
        <w:rPr>
          <w:rFonts w:ascii="Arial" w:hAnsi="Arial" w:cs="Arial"/>
        </w:rPr>
        <w:t xml:space="preserve">. </w:t>
      </w:r>
    </w:p>
    <w:p w14:paraId="60B963BD" w14:textId="77777777" w:rsidR="00B079F5" w:rsidRPr="00D7552A" w:rsidRDefault="00B079F5" w:rsidP="00B079F5">
      <w:pPr>
        <w:ind w:left="720"/>
        <w:rPr>
          <w:rFonts w:ascii="Arial" w:hAnsi="Arial" w:cs="Arial"/>
          <w:b/>
        </w:rPr>
      </w:pPr>
      <w:r w:rsidRPr="00D7552A">
        <w:rPr>
          <w:rFonts w:ascii="Arial" w:hAnsi="Arial" w:cs="Arial"/>
          <w:b/>
        </w:rPr>
        <w:t>Phase 1</w:t>
      </w:r>
    </w:p>
    <w:p w14:paraId="433439D4" w14:textId="79CE9F3F" w:rsidR="00B079F5" w:rsidRPr="00D7552A" w:rsidRDefault="00B079F5" w:rsidP="00B079F5">
      <w:pPr>
        <w:ind w:left="720"/>
        <w:rPr>
          <w:rFonts w:ascii="Arial" w:hAnsi="Arial" w:cs="Arial"/>
        </w:rPr>
      </w:pPr>
      <w:r w:rsidRPr="00D7552A">
        <w:rPr>
          <w:rFonts w:ascii="Arial" w:hAnsi="Arial" w:cs="Arial"/>
        </w:rPr>
        <w:t>Administration of the current Well Wiscons</w:t>
      </w:r>
      <w:r w:rsidR="002A2522">
        <w:rPr>
          <w:rFonts w:ascii="Arial" w:hAnsi="Arial" w:cs="Arial"/>
        </w:rPr>
        <w:t>in incentive by a single vendor,</w:t>
      </w:r>
      <w:r w:rsidR="002A2522" w:rsidRPr="00D7552A">
        <w:rPr>
          <w:rFonts w:ascii="Arial" w:hAnsi="Arial" w:cs="Arial"/>
        </w:rPr>
        <w:t xml:space="preserve"> improving</w:t>
      </w:r>
      <w:r w:rsidRPr="00D7552A">
        <w:rPr>
          <w:rFonts w:ascii="Arial" w:hAnsi="Arial" w:cs="Arial"/>
        </w:rPr>
        <w:t xml:space="preserve"> the consistency of the program promotion and the </w:t>
      </w:r>
      <w:r w:rsidR="00E46012">
        <w:rPr>
          <w:rFonts w:ascii="Arial" w:hAnsi="Arial" w:cs="Arial"/>
        </w:rPr>
        <w:t>Member</w:t>
      </w:r>
      <w:r w:rsidR="00E46012" w:rsidRPr="00D7552A">
        <w:rPr>
          <w:rFonts w:ascii="Arial" w:hAnsi="Arial" w:cs="Arial"/>
        </w:rPr>
        <w:t xml:space="preserve"> </w:t>
      </w:r>
      <w:r w:rsidRPr="00D7552A">
        <w:rPr>
          <w:rFonts w:ascii="Arial" w:hAnsi="Arial" w:cs="Arial"/>
        </w:rPr>
        <w:t xml:space="preserve">experience. </w:t>
      </w:r>
    </w:p>
    <w:p w14:paraId="459B50A2" w14:textId="77777777" w:rsidR="00B079F5" w:rsidRPr="00D7552A" w:rsidRDefault="00B079F5" w:rsidP="00B079F5">
      <w:pPr>
        <w:ind w:left="720"/>
        <w:rPr>
          <w:rFonts w:ascii="Arial" w:hAnsi="Arial" w:cs="Arial"/>
        </w:rPr>
      </w:pPr>
      <w:r w:rsidRPr="00D7552A">
        <w:rPr>
          <w:rFonts w:ascii="Arial" w:hAnsi="Arial" w:cs="Arial"/>
        </w:rPr>
        <w:t xml:space="preserve">Greater capability to use data for evaluating the program’s design and impact. </w:t>
      </w:r>
    </w:p>
    <w:p w14:paraId="72712FCA" w14:textId="02C85E31" w:rsidR="00B079F5" w:rsidRPr="00D7552A" w:rsidRDefault="00B079F5" w:rsidP="00B079F5">
      <w:pPr>
        <w:ind w:left="720"/>
        <w:rPr>
          <w:rFonts w:ascii="Arial" w:hAnsi="Arial" w:cs="Arial"/>
        </w:rPr>
      </w:pPr>
      <w:r w:rsidRPr="00D7552A">
        <w:rPr>
          <w:rFonts w:ascii="Arial" w:hAnsi="Arial" w:cs="Arial"/>
        </w:rPr>
        <w:t>Improved ability to offer engaging follow-up services</w:t>
      </w:r>
      <w:r w:rsidR="008A69C2">
        <w:rPr>
          <w:rFonts w:ascii="Arial" w:hAnsi="Arial" w:cs="Arial"/>
        </w:rPr>
        <w:t xml:space="preserve"> and ongoing wellness and disease management support</w:t>
      </w:r>
      <w:r w:rsidRPr="00D7552A">
        <w:rPr>
          <w:rFonts w:ascii="Arial" w:hAnsi="Arial" w:cs="Arial"/>
        </w:rPr>
        <w:t xml:space="preserve"> to </w:t>
      </w:r>
      <w:r w:rsidR="00E46012">
        <w:rPr>
          <w:rFonts w:ascii="Arial" w:hAnsi="Arial" w:cs="Arial"/>
        </w:rPr>
        <w:t>Member</w:t>
      </w:r>
      <w:r w:rsidRPr="00D7552A">
        <w:rPr>
          <w:rFonts w:ascii="Arial" w:hAnsi="Arial" w:cs="Arial"/>
        </w:rPr>
        <w:t>s.</w:t>
      </w:r>
    </w:p>
    <w:p w14:paraId="7B434985" w14:textId="77777777" w:rsidR="00B079F5" w:rsidRPr="00D7552A" w:rsidRDefault="00B079F5" w:rsidP="00B079F5">
      <w:pPr>
        <w:ind w:left="720"/>
        <w:rPr>
          <w:rFonts w:ascii="Arial" w:hAnsi="Arial" w:cs="Arial"/>
          <w:b/>
        </w:rPr>
      </w:pPr>
      <w:r w:rsidRPr="00D7552A">
        <w:rPr>
          <w:rFonts w:ascii="Arial" w:hAnsi="Arial" w:cs="Arial"/>
          <w:b/>
        </w:rPr>
        <w:t>Phase 2</w:t>
      </w:r>
    </w:p>
    <w:p w14:paraId="5F687E4F" w14:textId="4549A462" w:rsidR="00B079F5" w:rsidRPr="00D7552A" w:rsidRDefault="00B079F5" w:rsidP="00B079F5">
      <w:pPr>
        <w:ind w:left="720"/>
        <w:rPr>
          <w:rFonts w:ascii="Arial" w:hAnsi="Arial" w:cs="Arial"/>
        </w:rPr>
      </w:pPr>
      <w:r w:rsidRPr="00D7552A">
        <w:rPr>
          <w:rFonts w:ascii="Arial" w:hAnsi="Arial" w:cs="Arial"/>
        </w:rPr>
        <w:t xml:space="preserve">Implement </w:t>
      </w:r>
      <w:r w:rsidR="008A69C2">
        <w:rPr>
          <w:rFonts w:ascii="Arial" w:hAnsi="Arial" w:cs="Arial"/>
        </w:rPr>
        <w:t>enhanced</w:t>
      </w:r>
      <w:r w:rsidR="008A69C2" w:rsidRPr="00D7552A">
        <w:rPr>
          <w:rFonts w:ascii="Arial" w:hAnsi="Arial" w:cs="Arial"/>
        </w:rPr>
        <w:t xml:space="preserve"> </w:t>
      </w:r>
      <w:r w:rsidRPr="00D7552A">
        <w:rPr>
          <w:rFonts w:ascii="Arial" w:hAnsi="Arial" w:cs="Arial"/>
        </w:rPr>
        <w:t xml:space="preserve">financial incentives </w:t>
      </w:r>
      <w:r w:rsidR="008A69C2">
        <w:rPr>
          <w:rFonts w:ascii="Arial" w:hAnsi="Arial" w:cs="Arial"/>
        </w:rPr>
        <w:t xml:space="preserve">and other strategies </w:t>
      </w:r>
      <w:r w:rsidRPr="00D7552A">
        <w:rPr>
          <w:rFonts w:ascii="Arial" w:hAnsi="Arial" w:cs="Arial"/>
        </w:rPr>
        <w:t>to increase program participation.</w:t>
      </w:r>
    </w:p>
    <w:p w14:paraId="46C27471" w14:textId="5BD2274F" w:rsidR="00B079F5" w:rsidRPr="00D7552A" w:rsidRDefault="00B079F5" w:rsidP="00B079F5">
      <w:pPr>
        <w:ind w:left="720"/>
        <w:rPr>
          <w:rFonts w:ascii="Arial" w:hAnsi="Arial" w:cs="Arial"/>
        </w:rPr>
      </w:pPr>
      <w:r w:rsidRPr="00D7552A">
        <w:rPr>
          <w:rFonts w:ascii="Arial" w:hAnsi="Arial" w:cs="Arial"/>
        </w:rPr>
        <w:t xml:space="preserve">Increase the opportunity to engage moderate to high risk </w:t>
      </w:r>
      <w:r w:rsidR="00E46012">
        <w:rPr>
          <w:rFonts w:ascii="Arial" w:hAnsi="Arial" w:cs="Arial"/>
        </w:rPr>
        <w:t>Members</w:t>
      </w:r>
      <w:r w:rsidR="00E46012" w:rsidRPr="00D7552A">
        <w:rPr>
          <w:rFonts w:ascii="Arial" w:hAnsi="Arial" w:cs="Arial"/>
        </w:rPr>
        <w:t xml:space="preserve"> </w:t>
      </w:r>
      <w:r w:rsidRPr="00D7552A">
        <w:rPr>
          <w:rFonts w:ascii="Arial" w:hAnsi="Arial" w:cs="Arial"/>
        </w:rPr>
        <w:t xml:space="preserve">in disease management programs. </w:t>
      </w:r>
    </w:p>
    <w:p w14:paraId="2CF9E16D" w14:textId="77777777" w:rsidR="00B079F5" w:rsidRPr="00D7552A" w:rsidRDefault="00B079F5" w:rsidP="00B079F5">
      <w:pPr>
        <w:ind w:left="720"/>
        <w:rPr>
          <w:rFonts w:ascii="Arial" w:hAnsi="Arial" w:cs="Arial"/>
          <w:b/>
        </w:rPr>
      </w:pPr>
      <w:r w:rsidRPr="00D7552A">
        <w:rPr>
          <w:rFonts w:ascii="Arial" w:hAnsi="Arial" w:cs="Arial"/>
          <w:b/>
        </w:rPr>
        <w:t>Phase 3</w:t>
      </w:r>
    </w:p>
    <w:p w14:paraId="6FDC62AD" w14:textId="6A899BC6" w:rsidR="00B079F5" w:rsidRPr="004279A5" w:rsidRDefault="00B079F5" w:rsidP="00D7552A">
      <w:pPr>
        <w:ind w:left="720"/>
        <w:rPr>
          <w:rFonts w:ascii="Arial" w:hAnsi="Arial" w:cs="Arial"/>
        </w:rPr>
      </w:pPr>
      <w:r w:rsidRPr="00D7552A">
        <w:rPr>
          <w:rFonts w:ascii="Arial" w:hAnsi="Arial" w:cs="Arial"/>
        </w:rPr>
        <w:t>Implementation of Segal recommendation of the Total Health Management model, expanding wellness and disease management program, in conjunction with benefit and health plan contract design.</w:t>
      </w:r>
    </w:p>
    <w:p w14:paraId="7BADC75E" w14:textId="77777777" w:rsidR="006456A2" w:rsidRPr="00273653" w:rsidRDefault="006456A2" w:rsidP="00644C74">
      <w:pPr>
        <w:pStyle w:val="Heading2"/>
        <w:ind w:left="720" w:hanging="720"/>
      </w:pPr>
      <w:r w:rsidRPr="00273653">
        <w:t>Procuring and Contracting Agency</w:t>
      </w:r>
    </w:p>
    <w:p w14:paraId="54C64DCB" w14:textId="05821324" w:rsidR="006456A2" w:rsidRPr="00451A40" w:rsidRDefault="006456A2" w:rsidP="006456A2">
      <w:pPr>
        <w:pStyle w:val="LRWLBodyText"/>
        <w:rPr>
          <w:rFonts w:cs="Arial"/>
        </w:rPr>
      </w:pPr>
      <w:r w:rsidRPr="00273653">
        <w:rPr>
          <w:rFonts w:cs="Arial"/>
        </w:rPr>
        <w:t xml:space="preserve">This RFP is issued for the State of Wisconsin by </w:t>
      </w:r>
      <w:r w:rsidRPr="00451A40">
        <w:rPr>
          <w:rFonts w:cs="Arial"/>
        </w:rPr>
        <w:t>the Department of Employee Trust Funds</w:t>
      </w:r>
      <w:r w:rsidR="00EF3371" w:rsidRPr="00451A40">
        <w:rPr>
          <w:rFonts w:cs="Arial"/>
        </w:rPr>
        <w:t xml:space="preserve"> on behalf of the State of Wisconsin Group Insurance Board</w:t>
      </w:r>
      <w:r w:rsidRPr="00451A40">
        <w:rPr>
          <w:rFonts w:cs="Arial"/>
        </w:rPr>
        <w:t xml:space="preserve">. The Department is the sole point of contact for the State </w:t>
      </w:r>
      <w:r w:rsidR="001A6D7F" w:rsidRPr="00451A40">
        <w:rPr>
          <w:rFonts w:cs="Arial"/>
        </w:rPr>
        <w:t>of Wisconsin</w:t>
      </w:r>
      <w:r w:rsidRPr="00451A40">
        <w:rPr>
          <w:rFonts w:cs="Arial"/>
        </w:rPr>
        <w:t xml:space="preserve"> in the selection process. The terms “State,” “ETF,” </w:t>
      </w:r>
      <w:r w:rsidR="007C4583" w:rsidRPr="00451A40">
        <w:rPr>
          <w:rFonts w:cs="Arial"/>
        </w:rPr>
        <w:t>and</w:t>
      </w:r>
      <w:r w:rsidR="00C97D44" w:rsidRPr="00451A40">
        <w:rPr>
          <w:rFonts w:cs="Arial"/>
        </w:rPr>
        <w:t xml:space="preserve"> </w:t>
      </w:r>
      <w:r w:rsidRPr="00451A40">
        <w:rPr>
          <w:rFonts w:cs="Arial"/>
        </w:rPr>
        <w:t xml:space="preserve">“Department” may be used interchangeably in this </w:t>
      </w:r>
      <w:r w:rsidR="003860E5">
        <w:rPr>
          <w:rFonts w:cs="Arial"/>
        </w:rPr>
        <w:t>RFP</w:t>
      </w:r>
      <w:r w:rsidR="003860E5" w:rsidRPr="00451A40">
        <w:rPr>
          <w:rFonts w:cs="Arial"/>
        </w:rPr>
        <w:t xml:space="preserve"> </w:t>
      </w:r>
      <w:r w:rsidRPr="00451A40">
        <w:rPr>
          <w:rFonts w:cs="Arial"/>
        </w:rPr>
        <w:t>and its attachments.</w:t>
      </w:r>
    </w:p>
    <w:p w14:paraId="11734FCE" w14:textId="34B72F41" w:rsidR="00A000BF" w:rsidRDefault="006456A2" w:rsidP="00C120D3">
      <w:pPr>
        <w:pStyle w:val="LRWLBodyText"/>
      </w:pPr>
      <w:r w:rsidRPr="00451A40">
        <w:rPr>
          <w:rFonts w:cs="Arial"/>
        </w:rPr>
        <w:t>Prospective Proposers are prohibited from contacting any person other than the individual l</w:t>
      </w:r>
      <w:r w:rsidR="004E0B14" w:rsidRPr="00451A40">
        <w:rPr>
          <w:rFonts w:cs="Arial"/>
        </w:rPr>
        <w:t xml:space="preserve">isted here regarding this RFP. </w:t>
      </w:r>
      <w:r w:rsidRPr="00451A40">
        <w:rPr>
          <w:rFonts w:cs="Arial"/>
        </w:rPr>
        <w:t xml:space="preserve">Violation of this requirement may result in the Proposer being disqualified from further consideration. </w:t>
      </w:r>
    </w:p>
    <w:p w14:paraId="51D838D1" w14:textId="1F8D2037" w:rsidR="006456A2" w:rsidRPr="00451A40" w:rsidRDefault="00A000BF" w:rsidP="006456A2">
      <w:pPr>
        <w:tabs>
          <w:tab w:val="left" w:pos="1440"/>
          <w:tab w:val="left" w:pos="5760"/>
        </w:tabs>
        <w:rPr>
          <w:rFonts w:ascii="Arial" w:hAnsi="Arial" w:cs="Arial"/>
        </w:rPr>
      </w:pPr>
      <w:r>
        <w:rPr>
          <w:rFonts w:ascii="Arial" w:hAnsi="Arial" w:cs="Arial"/>
        </w:rPr>
        <w:lastRenderedPageBreak/>
        <w:tab/>
      </w:r>
      <w:r w:rsidR="006456A2" w:rsidRPr="00451A40">
        <w:rPr>
          <w:rFonts w:ascii="Arial" w:hAnsi="Arial" w:cs="Arial"/>
          <w:u w:val="single"/>
        </w:rPr>
        <w:t>Express delivery</w:t>
      </w:r>
      <w:r w:rsidR="006456A2" w:rsidRPr="00451A40">
        <w:rPr>
          <w:rFonts w:ascii="Arial" w:hAnsi="Arial" w:cs="Arial"/>
        </w:rPr>
        <w:t>:</w:t>
      </w:r>
      <w:r w:rsidR="006456A2" w:rsidRPr="00451A40">
        <w:rPr>
          <w:rFonts w:ascii="Arial" w:hAnsi="Arial" w:cs="Arial"/>
        </w:rPr>
        <w:tab/>
      </w:r>
      <w:r w:rsidR="006A0AE7" w:rsidRPr="00451A40">
        <w:rPr>
          <w:rFonts w:ascii="Arial" w:hAnsi="Arial" w:cs="Arial"/>
          <w:u w:val="single"/>
        </w:rPr>
        <w:t xml:space="preserve">USPS </w:t>
      </w:r>
      <w:r w:rsidR="006456A2" w:rsidRPr="00451A40">
        <w:rPr>
          <w:rFonts w:ascii="Arial" w:hAnsi="Arial" w:cs="Arial"/>
          <w:u w:val="single"/>
        </w:rPr>
        <w:t>Mail delivery</w:t>
      </w:r>
      <w:r w:rsidR="006456A2" w:rsidRPr="00451A40">
        <w:rPr>
          <w:rFonts w:ascii="Arial" w:hAnsi="Arial" w:cs="Arial"/>
        </w:rPr>
        <w:t>:</w:t>
      </w:r>
      <w:r w:rsidR="006456A2" w:rsidRPr="00451A40">
        <w:rPr>
          <w:rFonts w:ascii="Arial" w:hAnsi="Arial" w:cs="Arial"/>
        </w:rPr>
        <w:tab/>
      </w:r>
      <w:r w:rsidR="006456A2" w:rsidRPr="00451A40">
        <w:rPr>
          <w:rFonts w:ascii="Arial" w:hAnsi="Arial" w:cs="Arial"/>
        </w:rPr>
        <w:tab/>
      </w:r>
      <w:r w:rsidR="006456A2" w:rsidRPr="00451A40">
        <w:rPr>
          <w:rFonts w:ascii="Arial" w:hAnsi="Arial" w:cs="Arial"/>
        </w:rPr>
        <w:tab/>
      </w:r>
    </w:p>
    <w:p w14:paraId="7B61C44D" w14:textId="4F0B3197" w:rsidR="00690925" w:rsidRPr="00273653" w:rsidRDefault="006456A2" w:rsidP="00690925">
      <w:pPr>
        <w:tabs>
          <w:tab w:val="left" w:pos="1440"/>
          <w:tab w:val="left" w:pos="5760"/>
        </w:tabs>
        <w:spacing w:before="0" w:after="0"/>
        <w:rPr>
          <w:rFonts w:ascii="Arial" w:hAnsi="Arial" w:cs="Arial"/>
        </w:rPr>
      </w:pPr>
      <w:r w:rsidRPr="00451A40">
        <w:rPr>
          <w:rFonts w:ascii="Arial" w:hAnsi="Arial" w:cs="Arial"/>
        </w:rPr>
        <w:tab/>
      </w:r>
      <w:r w:rsidR="00690925">
        <w:rPr>
          <w:rFonts w:ascii="Arial" w:hAnsi="Arial" w:cs="Arial"/>
        </w:rPr>
        <w:t>Beth Bucaida</w:t>
      </w:r>
      <w:r w:rsidR="00690925" w:rsidRPr="00273653">
        <w:rPr>
          <w:rFonts w:ascii="Arial" w:hAnsi="Arial" w:cs="Arial"/>
        </w:rPr>
        <w:tab/>
      </w:r>
      <w:r w:rsidR="00690925">
        <w:rPr>
          <w:rFonts w:ascii="Arial" w:hAnsi="Arial" w:cs="Arial"/>
        </w:rPr>
        <w:t>Beth Bucaida</w:t>
      </w:r>
    </w:p>
    <w:p w14:paraId="70B4BFC0" w14:textId="77777777" w:rsidR="00690925" w:rsidRPr="00787EAA" w:rsidRDefault="00690925" w:rsidP="00690925">
      <w:pPr>
        <w:tabs>
          <w:tab w:val="left" w:pos="1440"/>
          <w:tab w:val="left" w:pos="5760"/>
        </w:tabs>
        <w:spacing w:before="0" w:after="0"/>
        <w:rPr>
          <w:rFonts w:ascii="Arial" w:hAnsi="Arial" w:cs="Arial"/>
        </w:rPr>
      </w:pPr>
      <w:r w:rsidRPr="00273653">
        <w:rPr>
          <w:rFonts w:ascii="Arial" w:hAnsi="Arial" w:cs="Arial"/>
        </w:rPr>
        <w:tab/>
      </w:r>
      <w:r w:rsidRPr="0050303E">
        <w:rPr>
          <w:rFonts w:ascii="Arial" w:hAnsi="Arial" w:cs="Arial"/>
          <w:b/>
        </w:rPr>
        <w:t>RFP ET</w:t>
      </w:r>
      <w:r>
        <w:rPr>
          <w:rFonts w:ascii="Arial" w:hAnsi="Arial" w:cs="Arial"/>
          <w:b/>
        </w:rPr>
        <w:t>G0005</w:t>
      </w:r>
      <w:r w:rsidRPr="00787EAA">
        <w:rPr>
          <w:rFonts w:ascii="Arial" w:hAnsi="Arial" w:cs="Arial"/>
        </w:rPr>
        <w:tab/>
      </w:r>
      <w:r w:rsidRPr="0050303E">
        <w:rPr>
          <w:rFonts w:ascii="Arial" w:hAnsi="Arial" w:cs="Arial"/>
          <w:b/>
        </w:rPr>
        <w:t>RFP ET</w:t>
      </w:r>
      <w:r>
        <w:rPr>
          <w:rFonts w:ascii="Arial" w:hAnsi="Arial" w:cs="Arial"/>
          <w:b/>
        </w:rPr>
        <w:t>G0005</w:t>
      </w:r>
    </w:p>
    <w:p w14:paraId="612D0A61" w14:textId="77777777" w:rsidR="00690925" w:rsidRPr="00273653" w:rsidRDefault="00690925" w:rsidP="00690925">
      <w:pPr>
        <w:tabs>
          <w:tab w:val="left" w:pos="1440"/>
          <w:tab w:val="left" w:pos="5760"/>
        </w:tabs>
        <w:spacing w:before="0" w:after="0"/>
        <w:rPr>
          <w:rFonts w:ascii="Arial" w:hAnsi="Arial" w:cs="Arial"/>
        </w:rPr>
      </w:pPr>
      <w:r w:rsidRPr="00787EAA">
        <w:rPr>
          <w:rFonts w:ascii="Arial" w:hAnsi="Arial" w:cs="Arial"/>
        </w:rPr>
        <w:tab/>
        <w:t>Dept. of Employee Trust Funds</w:t>
      </w:r>
      <w:r w:rsidRPr="00787EAA">
        <w:rPr>
          <w:rFonts w:ascii="Arial" w:hAnsi="Arial" w:cs="Arial"/>
        </w:rPr>
        <w:tab/>
        <w:t>Dept. of Employee</w:t>
      </w:r>
      <w:r w:rsidRPr="00273653">
        <w:rPr>
          <w:rFonts w:ascii="Arial" w:hAnsi="Arial" w:cs="Arial"/>
        </w:rPr>
        <w:t xml:space="preserve"> Trust Funds</w:t>
      </w:r>
    </w:p>
    <w:p w14:paraId="17F41F28" w14:textId="77777777" w:rsidR="00690925" w:rsidRPr="00273653" w:rsidRDefault="00690925" w:rsidP="00690925">
      <w:pPr>
        <w:tabs>
          <w:tab w:val="left" w:pos="1440"/>
          <w:tab w:val="left" w:pos="5760"/>
        </w:tabs>
        <w:spacing w:before="0" w:after="0"/>
        <w:rPr>
          <w:rFonts w:ascii="Arial" w:hAnsi="Arial" w:cs="Arial"/>
        </w:rPr>
      </w:pPr>
      <w:r w:rsidRPr="00273653">
        <w:rPr>
          <w:rFonts w:ascii="Arial" w:hAnsi="Arial" w:cs="Arial"/>
        </w:rPr>
        <w:tab/>
        <w:t>801 West Badger Road</w:t>
      </w:r>
      <w:r w:rsidRPr="00273653">
        <w:rPr>
          <w:rFonts w:ascii="Arial" w:hAnsi="Arial" w:cs="Arial"/>
        </w:rPr>
        <w:tab/>
        <w:t>PO Box 7931</w:t>
      </w:r>
    </w:p>
    <w:p w14:paraId="0B5BF4F0" w14:textId="77777777" w:rsidR="00690925" w:rsidRPr="00273653" w:rsidRDefault="00690925" w:rsidP="00690925">
      <w:pPr>
        <w:tabs>
          <w:tab w:val="left" w:pos="1440"/>
          <w:tab w:val="left" w:pos="5760"/>
        </w:tabs>
        <w:spacing w:before="0" w:after="0"/>
        <w:rPr>
          <w:rFonts w:ascii="Arial" w:hAnsi="Arial" w:cs="Arial"/>
        </w:rPr>
      </w:pPr>
      <w:r w:rsidRPr="00273653">
        <w:rPr>
          <w:rFonts w:ascii="Arial" w:hAnsi="Arial" w:cs="Arial"/>
        </w:rPr>
        <w:tab/>
        <w:t>Madison, WI  53713-2526</w:t>
      </w:r>
      <w:r w:rsidRPr="00273653">
        <w:rPr>
          <w:rFonts w:ascii="Arial" w:hAnsi="Arial" w:cs="Arial"/>
        </w:rPr>
        <w:tab/>
        <w:t>Madison, WI  53707-7931</w:t>
      </w:r>
    </w:p>
    <w:p w14:paraId="61D03F87" w14:textId="77777777" w:rsidR="00690925" w:rsidRPr="00273653" w:rsidRDefault="00690925" w:rsidP="00690925">
      <w:pPr>
        <w:tabs>
          <w:tab w:val="left" w:pos="2700"/>
          <w:tab w:val="left" w:pos="4320"/>
          <w:tab w:val="left" w:pos="5760"/>
        </w:tabs>
        <w:spacing w:before="0" w:after="0"/>
        <w:rPr>
          <w:rFonts w:ascii="Arial" w:hAnsi="Arial" w:cs="Arial"/>
        </w:rPr>
      </w:pPr>
    </w:p>
    <w:p w14:paraId="0D21FB8F" w14:textId="77777777" w:rsidR="00690925" w:rsidRPr="00273653" w:rsidRDefault="00690925" w:rsidP="00690925">
      <w:pPr>
        <w:tabs>
          <w:tab w:val="left" w:pos="2700"/>
          <w:tab w:val="left" w:pos="4320"/>
          <w:tab w:val="left" w:pos="5760"/>
        </w:tabs>
        <w:spacing w:before="0" w:after="0"/>
        <w:rPr>
          <w:rFonts w:ascii="Arial" w:hAnsi="Arial" w:cs="Arial"/>
        </w:rPr>
      </w:pPr>
      <w:r w:rsidRPr="00273653">
        <w:rPr>
          <w:rFonts w:ascii="Arial" w:hAnsi="Arial" w:cs="Arial"/>
        </w:rPr>
        <w:tab/>
        <w:t>Telephone: 608-</w:t>
      </w:r>
      <w:r>
        <w:rPr>
          <w:rFonts w:ascii="Arial" w:hAnsi="Arial" w:cs="Arial"/>
        </w:rPr>
        <w:t>267-3933</w:t>
      </w:r>
    </w:p>
    <w:p w14:paraId="6BBC446F" w14:textId="77777777" w:rsidR="00690925" w:rsidRPr="00273653" w:rsidRDefault="00690925" w:rsidP="00690925">
      <w:pPr>
        <w:tabs>
          <w:tab w:val="left" w:pos="2700"/>
          <w:tab w:val="left" w:pos="4320"/>
          <w:tab w:val="left" w:pos="5760"/>
        </w:tabs>
        <w:spacing w:before="0" w:after="0"/>
        <w:rPr>
          <w:rFonts w:ascii="Arial" w:hAnsi="Arial" w:cs="Arial"/>
        </w:rPr>
      </w:pPr>
      <w:r w:rsidRPr="00273653">
        <w:rPr>
          <w:rFonts w:ascii="Arial" w:hAnsi="Arial" w:cs="Arial"/>
        </w:rPr>
        <w:tab/>
        <w:t>FAX: 608-267-0633</w:t>
      </w:r>
    </w:p>
    <w:p w14:paraId="309A4BF7" w14:textId="77777777" w:rsidR="00690925" w:rsidRDefault="00690925" w:rsidP="00690925">
      <w:pPr>
        <w:tabs>
          <w:tab w:val="left" w:pos="2700"/>
          <w:tab w:val="left" w:pos="4320"/>
          <w:tab w:val="left" w:pos="5760"/>
        </w:tabs>
        <w:spacing w:before="0" w:after="0"/>
        <w:rPr>
          <w:rFonts w:ascii="Arial" w:hAnsi="Arial" w:cs="Arial"/>
        </w:rPr>
      </w:pPr>
      <w:r w:rsidRPr="00273653">
        <w:rPr>
          <w:rFonts w:ascii="Arial" w:hAnsi="Arial" w:cs="Arial"/>
        </w:rPr>
        <w:tab/>
        <w:t xml:space="preserve">E-mail: </w:t>
      </w:r>
      <w:hyperlink r:id="rId17" w:history="1">
        <w:r w:rsidRPr="00643C65">
          <w:rPr>
            <w:rStyle w:val="Hyperlink"/>
            <w:rFonts w:ascii="Arial" w:hAnsi="Arial" w:cs="Arial"/>
          </w:rPr>
          <w:t>ETFSMBProcurement@etf.wi.gov</w:t>
        </w:r>
      </w:hyperlink>
    </w:p>
    <w:p w14:paraId="029FE4BE" w14:textId="77777777" w:rsidR="006456A2" w:rsidRPr="00273653" w:rsidRDefault="006456A2" w:rsidP="00644C74">
      <w:pPr>
        <w:pStyle w:val="Heading2"/>
        <w:ind w:left="720" w:hanging="720"/>
      </w:pPr>
      <w:r w:rsidRPr="00273653">
        <w:t>Definitions and Acronyms</w:t>
      </w:r>
    </w:p>
    <w:p w14:paraId="4B171089" w14:textId="53752258" w:rsidR="006456A2" w:rsidRPr="00273653" w:rsidRDefault="006456A2" w:rsidP="006456A2">
      <w:pPr>
        <w:pStyle w:val="LRWLBodyText"/>
        <w:rPr>
          <w:rFonts w:cs="Arial"/>
        </w:rPr>
      </w:pPr>
      <w:r w:rsidRPr="00273653">
        <w:rPr>
          <w:rFonts w:cs="Arial"/>
        </w:rPr>
        <w:t>Words and terms shall be given their ordinary and usual meanings</w:t>
      </w:r>
      <w:r w:rsidR="000A6F08">
        <w:rPr>
          <w:rFonts w:cs="Arial"/>
        </w:rPr>
        <w:t xml:space="preserve">. </w:t>
      </w:r>
      <w:r w:rsidRPr="00273653">
        <w:rPr>
          <w:rFonts w:cs="Arial"/>
        </w:rPr>
        <w:t>Where capitalized in th</w:t>
      </w:r>
      <w:r w:rsidR="00690925">
        <w:rPr>
          <w:rFonts w:cs="Arial"/>
        </w:rPr>
        <w:t>is</w:t>
      </w:r>
      <w:r w:rsidRPr="00273653">
        <w:rPr>
          <w:rFonts w:cs="Arial"/>
        </w:rPr>
        <w:t xml:space="preserve"> RFP, the following definitions and acronyms shall have the meanings indicated unless otherwise </w:t>
      </w:r>
      <w:r w:rsidR="00316DB9">
        <w:rPr>
          <w:rFonts w:cs="Arial"/>
        </w:rPr>
        <w:t>noted</w:t>
      </w:r>
      <w:r w:rsidR="000A6F08">
        <w:rPr>
          <w:rFonts w:cs="Arial"/>
        </w:rPr>
        <w:t xml:space="preserve">. </w:t>
      </w:r>
      <w:r w:rsidRPr="00273653">
        <w:rPr>
          <w:rFonts w:cs="Arial"/>
        </w:rPr>
        <w:t xml:space="preserve">The meanings shall be applicable to the singular, plural, masculine, feminine, and neuter </w:t>
      </w:r>
      <w:r w:rsidR="00030A18">
        <w:rPr>
          <w:rFonts w:cs="Arial"/>
        </w:rPr>
        <w:t xml:space="preserve">forms </w:t>
      </w:r>
      <w:r w:rsidRPr="00273653">
        <w:rPr>
          <w:rFonts w:cs="Arial"/>
        </w:rPr>
        <w:t>of the words and terms</w:t>
      </w:r>
      <w:r w:rsidR="000A6F08">
        <w:rPr>
          <w:rFonts w:cs="Arial"/>
        </w:rPr>
        <w:t xml:space="preserve">. </w:t>
      </w:r>
    </w:p>
    <w:p w14:paraId="6D212753" w14:textId="5FD7650D" w:rsidR="004E0B14" w:rsidRDefault="004E0B14" w:rsidP="006456A2">
      <w:pPr>
        <w:pStyle w:val="LRWLBodyText"/>
        <w:rPr>
          <w:rStyle w:val="st"/>
        </w:rPr>
      </w:pPr>
      <w:r>
        <w:rPr>
          <w:rFonts w:cs="Arial"/>
          <w:b/>
          <w:u w:val="single"/>
        </w:rPr>
        <w:t>ADA</w:t>
      </w:r>
      <w:r w:rsidRPr="004E0B14">
        <w:rPr>
          <w:rFonts w:cs="Arial"/>
        </w:rPr>
        <w:t xml:space="preserve"> means</w:t>
      </w:r>
      <w:r w:rsidRPr="004E0B14">
        <w:rPr>
          <w:rFonts w:cs="Arial"/>
          <w:b/>
        </w:rPr>
        <w:t xml:space="preserve"> </w:t>
      </w:r>
      <w:r w:rsidRPr="004E0B14">
        <w:rPr>
          <w:rStyle w:val="st"/>
        </w:rPr>
        <w:t>Americans</w:t>
      </w:r>
      <w:r>
        <w:rPr>
          <w:rStyle w:val="st"/>
        </w:rPr>
        <w:t xml:space="preserve"> with Disabilities Act.</w:t>
      </w:r>
    </w:p>
    <w:p w14:paraId="0D4F6A80" w14:textId="60686B78" w:rsidR="00D95407" w:rsidRPr="00D95407" w:rsidRDefault="00D95407" w:rsidP="00D95407">
      <w:pPr>
        <w:pStyle w:val="LRWLBodyText"/>
        <w:rPr>
          <w:rStyle w:val="st"/>
        </w:rPr>
      </w:pPr>
      <w:r>
        <w:rPr>
          <w:rStyle w:val="st"/>
          <w:b/>
          <w:u w:val="single"/>
        </w:rPr>
        <w:t>Additional Service</w:t>
      </w:r>
      <w:r>
        <w:rPr>
          <w:rStyle w:val="st"/>
        </w:rPr>
        <w:t xml:space="preserve"> means a service the Proposer offers </w:t>
      </w:r>
      <w:r w:rsidRPr="00D95407">
        <w:rPr>
          <w:rStyle w:val="st"/>
        </w:rPr>
        <w:t xml:space="preserve">in excess of </w:t>
      </w:r>
      <w:r>
        <w:rPr>
          <w:rStyle w:val="st"/>
        </w:rPr>
        <w:t>the Services</w:t>
      </w:r>
      <w:r w:rsidRPr="00D95407">
        <w:rPr>
          <w:rStyle w:val="st"/>
        </w:rPr>
        <w:t xml:space="preserve"> required </w:t>
      </w:r>
      <w:r>
        <w:rPr>
          <w:rStyle w:val="st"/>
        </w:rPr>
        <w:t>in the C</w:t>
      </w:r>
      <w:r w:rsidRPr="00D95407">
        <w:rPr>
          <w:rStyle w:val="st"/>
        </w:rPr>
        <w:t>ontract.</w:t>
      </w:r>
      <w:r>
        <w:rPr>
          <w:rStyle w:val="st"/>
        </w:rPr>
        <w:t xml:space="preserve"> </w:t>
      </w:r>
      <w:r w:rsidR="00AE703A" w:rsidRPr="00AE703A">
        <w:rPr>
          <w:rStyle w:val="st"/>
        </w:rPr>
        <w:t>Any Additional Service offered will not be dependent on implementation or delivery of the Services under the Contract.</w:t>
      </w:r>
      <w:r w:rsidR="00AE703A">
        <w:rPr>
          <w:rStyle w:val="st"/>
        </w:rPr>
        <w:t xml:space="preserve"> </w:t>
      </w:r>
      <w:r>
        <w:rPr>
          <w:rStyle w:val="st"/>
        </w:rPr>
        <w:t xml:space="preserve">An Additional Service offered by the Proposer is not a guarantee, either stated or implied to be included in the Contract. An Additional Service will only be implemented or delivered at the Department’s request. </w:t>
      </w:r>
    </w:p>
    <w:p w14:paraId="52877610" w14:textId="2BE44384" w:rsidR="0043039C" w:rsidRDefault="0043039C" w:rsidP="005A35A1">
      <w:pPr>
        <w:autoSpaceDE w:val="0"/>
        <w:autoSpaceDN w:val="0"/>
        <w:adjustRightInd w:val="0"/>
        <w:spacing w:before="0" w:after="0"/>
        <w:rPr>
          <w:rFonts w:cs="Arial"/>
          <w:b/>
          <w:u w:val="single"/>
        </w:rPr>
      </w:pPr>
      <w:r w:rsidRPr="00A902A7">
        <w:rPr>
          <w:rFonts w:ascii="Arial" w:hAnsi="Arial" w:cs="Arial"/>
          <w:b/>
          <w:u w:val="single"/>
        </w:rPr>
        <w:t>Annuitant</w:t>
      </w:r>
      <w:r w:rsidRPr="00A902A7">
        <w:rPr>
          <w:rFonts w:ascii="Arial" w:hAnsi="Arial" w:cs="Arial"/>
        </w:rPr>
        <w:t xml:space="preserve"> means</w:t>
      </w:r>
      <w:r w:rsidR="00CC2FB8" w:rsidRPr="00A902A7">
        <w:rPr>
          <w:rFonts w:ascii="Arial" w:hAnsi="Arial" w:cs="Arial"/>
        </w:rPr>
        <w:t xml:space="preserve"> any</w:t>
      </w:r>
      <w:r w:rsidR="00CC2FB8">
        <w:rPr>
          <w:rFonts w:ascii="Arial" w:hAnsi="Arial" w:cs="Arial"/>
        </w:rPr>
        <w:t xml:space="preserve"> retired E</w:t>
      </w:r>
      <w:r w:rsidR="00A902A7">
        <w:rPr>
          <w:rFonts w:ascii="Arial" w:hAnsi="Arial" w:cs="Arial"/>
        </w:rPr>
        <w:t>mployee</w:t>
      </w:r>
      <w:r w:rsidR="00CC2FB8">
        <w:rPr>
          <w:rFonts w:ascii="Arial" w:hAnsi="Arial" w:cs="Arial"/>
        </w:rPr>
        <w:t xml:space="preserve"> of the State of Wisconsin: </w:t>
      </w:r>
      <w:r w:rsidR="005A35A1">
        <w:rPr>
          <w:rFonts w:ascii="Arial" w:hAnsi="Arial" w:cs="Arial"/>
        </w:rPr>
        <w:t xml:space="preserve">a) a person </w:t>
      </w:r>
      <w:r w:rsidR="00CC2FB8">
        <w:rPr>
          <w:rFonts w:ascii="Arial" w:hAnsi="Arial" w:cs="Arial"/>
        </w:rPr>
        <w:t>receiving an</w:t>
      </w:r>
      <w:r w:rsidR="00A902A7">
        <w:rPr>
          <w:rFonts w:ascii="Arial" w:hAnsi="Arial" w:cs="Arial"/>
        </w:rPr>
        <w:t xml:space="preserve"> </w:t>
      </w:r>
      <w:r w:rsidR="00CC2FB8">
        <w:rPr>
          <w:rFonts w:ascii="Arial" w:hAnsi="Arial" w:cs="Arial"/>
        </w:rPr>
        <w:t>immediate annuity under the Wisconsin Retirement System</w:t>
      </w:r>
      <w:r w:rsidR="005A35A1">
        <w:rPr>
          <w:rFonts w:ascii="Arial" w:hAnsi="Arial" w:cs="Arial"/>
        </w:rPr>
        <w:t>;</w:t>
      </w:r>
      <w:r w:rsidR="00CC2FB8">
        <w:rPr>
          <w:rFonts w:ascii="Arial" w:hAnsi="Arial" w:cs="Arial"/>
        </w:rPr>
        <w:t xml:space="preserve"> </w:t>
      </w:r>
      <w:r w:rsidR="005A35A1">
        <w:rPr>
          <w:rFonts w:ascii="Arial" w:hAnsi="Arial" w:cs="Arial"/>
        </w:rPr>
        <w:t xml:space="preserve">b) </w:t>
      </w:r>
      <w:r w:rsidR="00CC2FB8">
        <w:rPr>
          <w:rFonts w:ascii="Arial" w:hAnsi="Arial" w:cs="Arial"/>
        </w:rPr>
        <w:t>a currently insured recipient of a</w:t>
      </w:r>
      <w:r w:rsidR="00A902A7">
        <w:rPr>
          <w:rFonts w:ascii="Arial" w:hAnsi="Arial" w:cs="Arial"/>
        </w:rPr>
        <w:t xml:space="preserve"> </w:t>
      </w:r>
      <w:r w:rsidR="00CC2FB8">
        <w:rPr>
          <w:rFonts w:ascii="Arial" w:hAnsi="Arial" w:cs="Arial"/>
        </w:rPr>
        <w:t>long-term disability benefit under Wis. Adm. Code § ETF 50.40</w:t>
      </w:r>
      <w:r w:rsidR="005A35A1">
        <w:rPr>
          <w:rFonts w:ascii="Arial" w:hAnsi="Arial" w:cs="Arial"/>
        </w:rPr>
        <w:t>; c)</w:t>
      </w:r>
      <w:r w:rsidR="00CC2FB8">
        <w:rPr>
          <w:rFonts w:ascii="Arial" w:hAnsi="Arial" w:cs="Arial"/>
        </w:rPr>
        <w:t xml:space="preserve"> a currently insured recipient of a</w:t>
      </w:r>
      <w:r w:rsidR="00A902A7">
        <w:rPr>
          <w:rFonts w:ascii="Arial" w:hAnsi="Arial" w:cs="Arial"/>
        </w:rPr>
        <w:t xml:space="preserve"> </w:t>
      </w:r>
      <w:r w:rsidR="00CC2FB8">
        <w:rPr>
          <w:rFonts w:ascii="Arial" w:hAnsi="Arial" w:cs="Arial"/>
        </w:rPr>
        <w:t xml:space="preserve">disability benefit under Wis. Stat. § 40.65; </w:t>
      </w:r>
      <w:r w:rsidR="005A35A1">
        <w:rPr>
          <w:rFonts w:ascii="Arial" w:hAnsi="Arial" w:cs="Arial"/>
        </w:rPr>
        <w:t xml:space="preserve">or d) </w:t>
      </w:r>
      <w:r w:rsidR="00CC2FB8">
        <w:rPr>
          <w:rFonts w:ascii="Arial" w:hAnsi="Arial" w:cs="Arial"/>
        </w:rPr>
        <w:t>a terminated E</w:t>
      </w:r>
      <w:r w:rsidR="00A902A7">
        <w:rPr>
          <w:rFonts w:ascii="Arial" w:hAnsi="Arial" w:cs="Arial"/>
        </w:rPr>
        <w:t xml:space="preserve">mployee </w:t>
      </w:r>
      <w:r w:rsidR="00CC2FB8">
        <w:rPr>
          <w:rFonts w:ascii="Arial" w:hAnsi="Arial" w:cs="Arial"/>
        </w:rPr>
        <w:t xml:space="preserve">with </w:t>
      </w:r>
      <w:r w:rsidR="00A902A7">
        <w:rPr>
          <w:rFonts w:ascii="Arial" w:hAnsi="Arial" w:cs="Arial"/>
        </w:rPr>
        <w:t>twenty (</w:t>
      </w:r>
      <w:r w:rsidR="00CC2FB8">
        <w:rPr>
          <w:rFonts w:ascii="Arial" w:hAnsi="Arial" w:cs="Arial"/>
        </w:rPr>
        <w:t>20</w:t>
      </w:r>
      <w:r w:rsidR="00A902A7">
        <w:rPr>
          <w:rFonts w:ascii="Arial" w:hAnsi="Arial" w:cs="Arial"/>
        </w:rPr>
        <w:t>)</w:t>
      </w:r>
      <w:r w:rsidR="00CC2FB8">
        <w:rPr>
          <w:rFonts w:ascii="Arial" w:hAnsi="Arial" w:cs="Arial"/>
        </w:rPr>
        <w:t xml:space="preserve"> years of</w:t>
      </w:r>
      <w:r w:rsidR="00A902A7">
        <w:rPr>
          <w:rFonts w:ascii="Arial" w:hAnsi="Arial" w:cs="Arial"/>
        </w:rPr>
        <w:t xml:space="preserve"> </w:t>
      </w:r>
      <w:r w:rsidR="00CC2FB8" w:rsidRPr="00A902A7">
        <w:rPr>
          <w:rFonts w:ascii="Arial" w:hAnsi="Arial" w:cs="Arial"/>
        </w:rPr>
        <w:t>creditable service.</w:t>
      </w:r>
    </w:p>
    <w:p w14:paraId="4EE2247F" w14:textId="31C93794" w:rsidR="0016592E" w:rsidRPr="00D17839" w:rsidRDefault="0016592E" w:rsidP="006456A2">
      <w:pPr>
        <w:pStyle w:val="LRWLBodyText"/>
        <w:rPr>
          <w:rFonts w:cs="Arial"/>
          <w:b/>
        </w:rPr>
      </w:pPr>
      <w:r>
        <w:rPr>
          <w:rFonts w:cs="Arial"/>
          <w:b/>
          <w:u w:val="single"/>
        </w:rPr>
        <w:t>Board</w:t>
      </w:r>
      <w:r w:rsidRPr="00273653">
        <w:rPr>
          <w:rFonts w:cs="Arial"/>
          <w:b/>
        </w:rPr>
        <w:t xml:space="preserve"> </w:t>
      </w:r>
      <w:r w:rsidRPr="00273653">
        <w:rPr>
          <w:rFonts w:cs="Arial"/>
        </w:rPr>
        <w:t xml:space="preserve">means </w:t>
      </w:r>
      <w:r>
        <w:rPr>
          <w:rFonts w:cs="Arial"/>
        </w:rPr>
        <w:t>State of Wisconsin Group Insurance Board.</w:t>
      </w:r>
    </w:p>
    <w:p w14:paraId="549F0CFA" w14:textId="77777777" w:rsidR="006456A2" w:rsidRPr="00273653" w:rsidRDefault="006456A2" w:rsidP="006456A2">
      <w:pPr>
        <w:pStyle w:val="LRWLBodyText"/>
        <w:rPr>
          <w:rFonts w:cs="Arial"/>
          <w:b/>
        </w:rPr>
      </w:pPr>
      <w:r w:rsidRPr="00273653">
        <w:rPr>
          <w:rFonts w:cs="Arial"/>
          <w:b/>
          <w:u w:val="single"/>
        </w:rPr>
        <w:t>Business Day</w:t>
      </w:r>
      <w:r w:rsidRPr="00273653">
        <w:rPr>
          <w:rFonts w:cs="Arial"/>
          <w:b/>
        </w:rPr>
        <w:t xml:space="preserve"> </w:t>
      </w:r>
      <w:r w:rsidRPr="00273653">
        <w:rPr>
          <w:rFonts w:cs="Arial"/>
        </w:rPr>
        <w:t>means each Calendar Day except Saturday, Sunday, and official State of Wisconsin holidays (see also: Calendar Day, Day).</w:t>
      </w:r>
    </w:p>
    <w:p w14:paraId="74C1C1C9" w14:textId="77777777" w:rsidR="006456A2" w:rsidRPr="00273653" w:rsidRDefault="006456A2" w:rsidP="006456A2">
      <w:pPr>
        <w:pStyle w:val="LRWLBodyText"/>
        <w:rPr>
          <w:rFonts w:cs="Arial"/>
          <w:b/>
        </w:rPr>
      </w:pPr>
      <w:r w:rsidRPr="00273653">
        <w:rPr>
          <w:rFonts w:cs="Arial"/>
          <w:b/>
          <w:u w:val="single"/>
        </w:rPr>
        <w:t>Calendar Day</w:t>
      </w:r>
      <w:r w:rsidRPr="00273653">
        <w:rPr>
          <w:rFonts w:cs="Arial"/>
          <w:b/>
        </w:rPr>
        <w:t xml:space="preserve"> </w:t>
      </w:r>
      <w:r w:rsidRPr="00273653">
        <w:rPr>
          <w:rFonts w:cs="Arial"/>
        </w:rPr>
        <w:t>refers to a period of twenty-four hours starting at midnight.</w:t>
      </w:r>
    </w:p>
    <w:p w14:paraId="48343C99" w14:textId="27449859" w:rsidR="006456A2" w:rsidRPr="00273653" w:rsidRDefault="006456A2" w:rsidP="006456A2">
      <w:pPr>
        <w:pStyle w:val="LRWLBodyText"/>
        <w:rPr>
          <w:rFonts w:cs="Arial"/>
          <w:b/>
        </w:rPr>
      </w:pPr>
      <w:r w:rsidRPr="00273653">
        <w:rPr>
          <w:rFonts w:cs="Arial"/>
          <w:b/>
          <w:u w:val="single"/>
        </w:rPr>
        <w:t>Calendar of Events</w:t>
      </w:r>
      <w:r w:rsidRPr="00273653">
        <w:rPr>
          <w:rFonts w:cs="Arial"/>
          <w:b/>
        </w:rPr>
        <w:t xml:space="preserve"> </w:t>
      </w:r>
      <w:r w:rsidRPr="00273653">
        <w:rPr>
          <w:rFonts w:cs="Arial"/>
        </w:rPr>
        <w:t>mean</w:t>
      </w:r>
      <w:r w:rsidR="00C64A8A">
        <w:rPr>
          <w:rFonts w:cs="Arial"/>
        </w:rPr>
        <w:t>s the schedule of events in RFP</w:t>
      </w:r>
      <w:r w:rsidRPr="00273653">
        <w:rPr>
          <w:rFonts w:cs="Arial"/>
        </w:rPr>
        <w:t xml:space="preserve"> Section </w:t>
      </w:r>
      <w:r w:rsidR="0047447D">
        <w:rPr>
          <w:rFonts w:cs="Arial"/>
        </w:rPr>
        <w:t>1.9</w:t>
      </w:r>
      <w:r w:rsidRPr="00273653">
        <w:rPr>
          <w:rFonts w:cs="Arial"/>
        </w:rPr>
        <w:t>.</w:t>
      </w:r>
    </w:p>
    <w:p w14:paraId="170587BC" w14:textId="44A743B5" w:rsidR="006456A2" w:rsidRPr="00273653" w:rsidRDefault="006456A2" w:rsidP="006456A2">
      <w:pPr>
        <w:pStyle w:val="LRWLBodyText"/>
        <w:rPr>
          <w:rFonts w:cs="Arial"/>
          <w:b/>
        </w:rPr>
      </w:pPr>
      <w:r w:rsidRPr="00273653">
        <w:rPr>
          <w:rFonts w:cs="Arial"/>
          <w:b/>
          <w:u w:val="single"/>
        </w:rPr>
        <w:t>Confidential Information</w:t>
      </w:r>
      <w:r w:rsidRPr="00273653">
        <w:rPr>
          <w:rFonts w:cs="Arial"/>
        </w:rPr>
        <w:t xml:space="preserve"> </w:t>
      </w:r>
      <w:r w:rsidR="00C53B06" w:rsidRPr="00273653">
        <w:rPr>
          <w:rFonts w:cs="Arial"/>
        </w:rPr>
        <w:t>means all tangible and intangible information and materials being disclosed in connection with the Contract, in any form or medium without regard to whether the information is owned by the State of Wisconsin or by a third party, which satisfies at least one of the following criteria: (</w:t>
      </w:r>
      <w:proofErr w:type="spellStart"/>
      <w:r w:rsidR="00C53B06" w:rsidRPr="00273653">
        <w:rPr>
          <w:rFonts w:cs="Arial"/>
        </w:rPr>
        <w:t>i</w:t>
      </w:r>
      <w:proofErr w:type="spellEnd"/>
      <w:r w:rsidR="00C53B06" w:rsidRPr="00273653">
        <w:rPr>
          <w:rFonts w:cs="Arial"/>
        </w:rPr>
        <w:t xml:space="preserve">) Personally Identifiable Information; (ii) Protected Health Information under HIPAA, 45 CFR 160.103; (iii) Proprietary Information; (iv) non-public information related to the State of Wisconsin’s employees, customers, technology (including data bases, data processing and communications networking systems), schematics, specifications, and all information or materials derived therefrom or based thereon; (v) information expressly designated as confidential in writing by the State of Wisconsin; (vi) all information that is restricted or prohibited from disclosure by </w:t>
      </w:r>
      <w:r w:rsidR="00873CDD">
        <w:rPr>
          <w:rFonts w:cs="Arial"/>
        </w:rPr>
        <w:t>State</w:t>
      </w:r>
      <w:r w:rsidR="00C53B06" w:rsidRPr="00273653">
        <w:rPr>
          <w:rFonts w:cs="Arial"/>
        </w:rPr>
        <w:t xml:space="preserve"> or federal law, including Individual Personal Information and Medical Records as governed by Wis. Stat. § 40.07, Wis. Admin. </w:t>
      </w:r>
      <w:r w:rsidR="00D06B51" w:rsidRPr="00273653">
        <w:rPr>
          <w:rFonts w:cs="Arial"/>
        </w:rPr>
        <w:t>Co</w:t>
      </w:r>
      <w:r w:rsidR="00D06B51">
        <w:rPr>
          <w:rFonts w:cs="Arial"/>
        </w:rPr>
        <w:t>de ETF</w:t>
      </w:r>
      <w:r w:rsidR="00BA59D7">
        <w:rPr>
          <w:rFonts w:cs="Arial"/>
        </w:rPr>
        <w:t xml:space="preserve"> 10.70(1) and 10.01(3m); </w:t>
      </w:r>
      <w:r w:rsidR="00BA59D7" w:rsidRPr="00BA59D7">
        <w:rPr>
          <w:rFonts w:cs="Arial"/>
        </w:rPr>
        <w:t>(vi</w:t>
      </w:r>
      <w:r w:rsidR="00030A18">
        <w:rPr>
          <w:rFonts w:cs="Arial"/>
        </w:rPr>
        <w:t>i</w:t>
      </w:r>
      <w:r w:rsidR="00BA59D7" w:rsidRPr="00BA59D7">
        <w:rPr>
          <w:rFonts w:cs="Arial"/>
        </w:rPr>
        <w:t xml:space="preserve">) any material submitted by the </w:t>
      </w:r>
      <w:r w:rsidR="00CB52E7">
        <w:rPr>
          <w:rFonts w:cs="Arial"/>
        </w:rPr>
        <w:t>Proposer</w:t>
      </w:r>
      <w:r w:rsidR="00BA59D7" w:rsidRPr="00BA59D7">
        <w:rPr>
          <w:rFonts w:cs="Arial"/>
        </w:rPr>
        <w:t xml:space="preserve"> in response to this </w:t>
      </w:r>
      <w:r w:rsidR="00CB52E7">
        <w:rPr>
          <w:rFonts w:cs="Arial"/>
        </w:rPr>
        <w:t>RFP</w:t>
      </w:r>
      <w:r w:rsidR="00BA59D7" w:rsidRPr="00BA59D7">
        <w:rPr>
          <w:rFonts w:cs="Arial"/>
        </w:rPr>
        <w:t xml:space="preserve"> that the </w:t>
      </w:r>
      <w:r w:rsidR="00CB52E7">
        <w:rPr>
          <w:rFonts w:cs="Arial"/>
        </w:rPr>
        <w:t>Proposer</w:t>
      </w:r>
      <w:r w:rsidR="00BA59D7" w:rsidRPr="00BA59D7">
        <w:rPr>
          <w:rFonts w:cs="Arial"/>
        </w:rPr>
        <w:t xml:space="preserve"> </w:t>
      </w:r>
      <w:r w:rsidR="007C4583">
        <w:rPr>
          <w:rFonts w:cs="Arial"/>
        </w:rPr>
        <w:t>designates</w:t>
      </w:r>
      <w:r w:rsidR="007C4583" w:rsidRPr="00BA59D7">
        <w:rPr>
          <w:rFonts w:cs="Arial"/>
        </w:rPr>
        <w:t xml:space="preserve"> </w:t>
      </w:r>
      <w:r w:rsidR="00BA59D7" w:rsidRPr="00BA59D7">
        <w:rPr>
          <w:rFonts w:cs="Arial"/>
        </w:rPr>
        <w:t xml:space="preserve">confidential and proprietary information and which qualifies as a </w:t>
      </w:r>
      <w:r w:rsidR="00BA59D7" w:rsidRPr="00BA59D7">
        <w:rPr>
          <w:rFonts w:cs="Arial"/>
        </w:rPr>
        <w:lastRenderedPageBreak/>
        <w:t xml:space="preserve">trade secret, as </w:t>
      </w:r>
      <w:r w:rsidR="00BA59D7" w:rsidRPr="00970E89">
        <w:rPr>
          <w:rFonts w:cs="Arial"/>
        </w:rPr>
        <w:t xml:space="preserve">provided in </w:t>
      </w:r>
      <w:r w:rsidR="00E12C34" w:rsidRPr="00B55974">
        <w:rPr>
          <w:rFonts w:cs="Arial"/>
        </w:rPr>
        <w:t xml:space="preserve">Wis. Stat. § 19.36 (5) </w:t>
      </w:r>
      <w:r w:rsidR="00BA59D7" w:rsidRPr="00970E89">
        <w:rPr>
          <w:rFonts w:cs="Arial"/>
        </w:rPr>
        <w:t>or</w:t>
      </w:r>
      <w:r w:rsidR="00BA59D7" w:rsidRPr="00BA59D7">
        <w:rPr>
          <w:rFonts w:cs="Arial"/>
        </w:rPr>
        <w:t xml:space="preserve"> material which can be kept confidential under the Wisconsin public records law, and identified on a Designation of Confidential and Proprietary Information form (DOA-3027). </w:t>
      </w:r>
      <w:r w:rsidR="00030A18" w:rsidRPr="00BA59D7">
        <w:rPr>
          <w:rFonts w:cs="Arial"/>
        </w:rPr>
        <w:t>Pric</w:t>
      </w:r>
      <w:r w:rsidR="00030A18">
        <w:rPr>
          <w:rFonts w:cs="Arial"/>
        </w:rPr>
        <w:t>ing information</w:t>
      </w:r>
      <w:r w:rsidR="00030A18" w:rsidRPr="00BA59D7">
        <w:rPr>
          <w:rFonts w:cs="Arial"/>
        </w:rPr>
        <w:t xml:space="preserve"> </w:t>
      </w:r>
      <w:r w:rsidR="00BA59D7" w:rsidRPr="00BA59D7">
        <w:rPr>
          <w:rFonts w:cs="Arial"/>
        </w:rPr>
        <w:t>cannot be held confidential.</w:t>
      </w:r>
    </w:p>
    <w:p w14:paraId="55653E2A" w14:textId="0665AC81" w:rsidR="0043039C" w:rsidRPr="0043039C" w:rsidRDefault="0043039C" w:rsidP="00EF5919">
      <w:pPr>
        <w:autoSpaceDE w:val="0"/>
        <w:autoSpaceDN w:val="0"/>
        <w:adjustRightInd w:val="0"/>
        <w:spacing w:before="0" w:after="0"/>
        <w:rPr>
          <w:rFonts w:cs="Arial"/>
        </w:rPr>
      </w:pPr>
      <w:r w:rsidRPr="004A2A1F">
        <w:rPr>
          <w:rFonts w:ascii="Arial" w:hAnsi="Arial" w:cs="Arial"/>
          <w:b/>
          <w:u w:val="single"/>
        </w:rPr>
        <w:t>Continuant</w:t>
      </w:r>
      <w:r w:rsidRPr="004A2A1F">
        <w:rPr>
          <w:rFonts w:ascii="Arial" w:hAnsi="Arial" w:cs="Arial"/>
        </w:rPr>
        <w:t xml:space="preserve"> means </w:t>
      </w:r>
      <w:r w:rsidR="00A902A7" w:rsidRPr="004A2A1F">
        <w:rPr>
          <w:rFonts w:ascii="Arial" w:hAnsi="Arial" w:cs="Arial"/>
        </w:rPr>
        <w:t xml:space="preserve">any Subscriber enrolled in </w:t>
      </w:r>
      <w:r w:rsidR="00B927B3">
        <w:rPr>
          <w:rFonts w:ascii="Arial" w:hAnsi="Arial" w:cs="Arial"/>
        </w:rPr>
        <w:t xml:space="preserve">the </w:t>
      </w:r>
      <w:r w:rsidR="00A902A7" w:rsidRPr="004A2A1F">
        <w:rPr>
          <w:rFonts w:ascii="Arial" w:hAnsi="Arial" w:cs="Arial"/>
        </w:rPr>
        <w:t xml:space="preserve">State of Wisconsin Group Health Insurance Program or </w:t>
      </w:r>
      <w:r w:rsidR="00B927B3">
        <w:rPr>
          <w:rFonts w:ascii="Arial" w:hAnsi="Arial" w:cs="Arial"/>
        </w:rPr>
        <w:t xml:space="preserve">the </w:t>
      </w:r>
      <w:r w:rsidR="00A902A7" w:rsidRPr="004A2A1F">
        <w:rPr>
          <w:rFonts w:ascii="Arial" w:hAnsi="Arial" w:cs="Arial"/>
        </w:rPr>
        <w:t>Wisconsin Public Employer</w:t>
      </w:r>
      <w:r w:rsidR="00A902A7">
        <w:rPr>
          <w:rFonts w:ascii="Arial" w:hAnsi="Arial" w:cs="Arial"/>
        </w:rPr>
        <w:t xml:space="preserve"> program under the federal or </w:t>
      </w:r>
      <w:r w:rsidR="00873CDD">
        <w:rPr>
          <w:rFonts w:ascii="Arial" w:hAnsi="Arial" w:cs="Arial"/>
        </w:rPr>
        <w:t>State</w:t>
      </w:r>
      <w:r w:rsidR="00A902A7">
        <w:rPr>
          <w:rFonts w:ascii="Arial" w:hAnsi="Arial" w:cs="Arial"/>
        </w:rPr>
        <w:t xml:space="preserve"> continuation provisions. </w:t>
      </w:r>
    </w:p>
    <w:p w14:paraId="4A34FC15" w14:textId="1C7F50DC" w:rsidR="006456A2" w:rsidRPr="00273653" w:rsidRDefault="006456A2" w:rsidP="006456A2">
      <w:pPr>
        <w:pStyle w:val="LRWLBodyText"/>
        <w:rPr>
          <w:rFonts w:cs="Arial"/>
        </w:rPr>
      </w:pPr>
      <w:r w:rsidRPr="00273653">
        <w:rPr>
          <w:rFonts w:cs="Arial"/>
          <w:b/>
          <w:u w:val="single"/>
        </w:rPr>
        <w:t>Contract</w:t>
      </w:r>
      <w:r w:rsidRPr="00273653">
        <w:rPr>
          <w:rFonts w:cs="Arial"/>
          <w:b/>
        </w:rPr>
        <w:t xml:space="preserve"> </w:t>
      </w:r>
      <w:r w:rsidRPr="00273653">
        <w:rPr>
          <w:rFonts w:cs="Arial"/>
        </w:rPr>
        <w:t>means the written agreement resulting from the successful Proposal and subsequent negotiations that shall incorporate, among other things, th</w:t>
      </w:r>
      <w:r w:rsidR="00EB77ED">
        <w:rPr>
          <w:rFonts w:cs="Arial"/>
        </w:rPr>
        <w:t>is</w:t>
      </w:r>
      <w:r w:rsidRPr="00273653">
        <w:rPr>
          <w:rFonts w:cs="Arial"/>
        </w:rPr>
        <w:t xml:space="preserve"> RFP and </w:t>
      </w:r>
      <w:r w:rsidR="00030A18">
        <w:rPr>
          <w:rFonts w:cs="Arial"/>
        </w:rPr>
        <w:t xml:space="preserve">the </w:t>
      </w:r>
      <w:r w:rsidRPr="00273653">
        <w:rPr>
          <w:rFonts w:cs="Arial"/>
        </w:rPr>
        <w:t xml:space="preserve">successful </w:t>
      </w:r>
      <w:r w:rsidR="00FD510B">
        <w:rPr>
          <w:rFonts w:cs="Arial"/>
        </w:rPr>
        <w:t>Proposer</w:t>
      </w:r>
      <w:r w:rsidRPr="00273653">
        <w:rPr>
          <w:rFonts w:cs="Arial"/>
        </w:rPr>
        <w:t xml:space="preserve">'s Proposal, and all modifications </w:t>
      </w:r>
      <w:r w:rsidR="00C01830">
        <w:rPr>
          <w:rFonts w:cs="Arial"/>
        </w:rPr>
        <w:t>to this agreement</w:t>
      </w:r>
      <w:r w:rsidRPr="00273653">
        <w:rPr>
          <w:rFonts w:cs="Arial"/>
        </w:rPr>
        <w:t>, and in addition shall contain such other terms and conditions as may be required by the State</w:t>
      </w:r>
      <w:r w:rsidR="007931FF" w:rsidRPr="00273653">
        <w:rPr>
          <w:rFonts w:cs="Arial"/>
        </w:rPr>
        <w:t xml:space="preserve"> of Wisconsin</w:t>
      </w:r>
      <w:r w:rsidRPr="00273653">
        <w:rPr>
          <w:rFonts w:cs="Arial"/>
        </w:rPr>
        <w:t>.</w:t>
      </w:r>
    </w:p>
    <w:p w14:paraId="6DB781BA" w14:textId="217606AB" w:rsidR="003F497F" w:rsidRPr="00273653" w:rsidRDefault="003F497F" w:rsidP="003F497F">
      <w:pPr>
        <w:rPr>
          <w:rFonts w:ascii="Arial" w:hAnsi="Arial" w:cs="Arial"/>
        </w:rPr>
      </w:pPr>
      <w:r w:rsidRPr="00273653">
        <w:rPr>
          <w:rFonts w:ascii="Arial" w:hAnsi="Arial" w:cs="Arial"/>
          <w:b/>
          <w:u w:val="single"/>
        </w:rPr>
        <w:t>Contract</w:t>
      </w:r>
      <w:r w:rsidR="00BE3A23">
        <w:rPr>
          <w:rFonts w:ascii="Arial" w:hAnsi="Arial" w:cs="Arial"/>
          <w:b/>
          <w:u w:val="single"/>
        </w:rPr>
        <w:t>or</w:t>
      </w:r>
      <w:r w:rsidRPr="00273653">
        <w:rPr>
          <w:rFonts w:ascii="Arial" w:hAnsi="Arial" w:cs="Arial"/>
        </w:rPr>
        <w:t xml:space="preserve"> means the </w:t>
      </w:r>
      <w:r w:rsidR="00DC7028">
        <w:rPr>
          <w:rFonts w:ascii="Arial" w:hAnsi="Arial" w:cs="Arial"/>
        </w:rPr>
        <w:t>Proposer</w:t>
      </w:r>
      <w:r w:rsidR="00DC7028" w:rsidRPr="00273653">
        <w:rPr>
          <w:rFonts w:ascii="Arial" w:hAnsi="Arial" w:cs="Arial"/>
        </w:rPr>
        <w:t xml:space="preserve"> </w:t>
      </w:r>
      <w:r w:rsidR="00CB52E7">
        <w:rPr>
          <w:rFonts w:ascii="Arial" w:hAnsi="Arial" w:cs="Arial"/>
        </w:rPr>
        <w:t>who is awarded the C</w:t>
      </w:r>
      <w:r w:rsidRPr="00273653">
        <w:rPr>
          <w:rFonts w:ascii="Arial" w:hAnsi="Arial" w:cs="Arial"/>
        </w:rPr>
        <w:t>ontract.</w:t>
      </w:r>
    </w:p>
    <w:p w14:paraId="580C4294" w14:textId="12011469" w:rsidR="003B4D22" w:rsidRPr="003B4D22" w:rsidRDefault="003B4D22" w:rsidP="006456A2">
      <w:pPr>
        <w:pStyle w:val="LRWLBodyText"/>
        <w:rPr>
          <w:rFonts w:cs="Arial"/>
          <w:b/>
        </w:rPr>
      </w:pPr>
      <w:r>
        <w:rPr>
          <w:rFonts w:cs="Arial"/>
          <w:b/>
          <w:u w:val="single"/>
        </w:rPr>
        <w:t>CD</w:t>
      </w:r>
      <w:r w:rsidRPr="00273653">
        <w:rPr>
          <w:rFonts w:cs="Arial"/>
          <w:b/>
          <w:u w:val="single"/>
        </w:rPr>
        <w:t>T</w:t>
      </w:r>
      <w:r w:rsidRPr="00273653">
        <w:rPr>
          <w:rFonts w:cs="Arial"/>
          <w:b/>
        </w:rPr>
        <w:t xml:space="preserve"> </w:t>
      </w:r>
      <w:r w:rsidRPr="00273653">
        <w:rPr>
          <w:rFonts w:cs="Arial"/>
        </w:rPr>
        <w:t xml:space="preserve">means </w:t>
      </w:r>
      <w:r w:rsidRPr="003B4D22">
        <w:rPr>
          <w:rFonts w:cs="Arial"/>
        </w:rPr>
        <w:t>Central Daylight Time</w:t>
      </w:r>
      <w:r w:rsidR="00AD34CD">
        <w:rPr>
          <w:rFonts w:cs="Arial"/>
        </w:rPr>
        <w:t xml:space="preserve"> covering a time period of mid-March to early November each calendar year.</w:t>
      </w:r>
    </w:p>
    <w:p w14:paraId="33F89D14" w14:textId="03A30B3F" w:rsidR="006456A2" w:rsidRPr="00273653" w:rsidRDefault="006456A2" w:rsidP="006456A2">
      <w:pPr>
        <w:pStyle w:val="LRWLBodyText"/>
        <w:rPr>
          <w:rFonts w:cs="Arial"/>
          <w:b/>
        </w:rPr>
      </w:pPr>
      <w:r w:rsidRPr="00273653">
        <w:rPr>
          <w:rFonts w:cs="Arial"/>
          <w:b/>
          <w:u w:val="single"/>
        </w:rPr>
        <w:t>CST</w:t>
      </w:r>
      <w:r w:rsidRPr="00273653">
        <w:rPr>
          <w:rFonts w:cs="Arial"/>
          <w:b/>
        </w:rPr>
        <w:t xml:space="preserve"> </w:t>
      </w:r>
      <w:r w:rsidRPr="00273653">
        <w:rPr>
          <w:rFonts w:cs="Arial"/>
        </w:rPr>
        <w:t xml:space="preserve">means </w:t>
      </w:r>
      <w:r w:rsidR="003B4D22" w:rsidRPr="003B4D22">
        <w:rPr>
          <w:rFonts w:cs="Arial"/>
        </w:rPr>
        <w:t>Central Standard Time</w:t>
      </w:r>
      <w:r w:rsidR="00AD34CD">
        <w:rPr>
          <w:rFonts w:cs="Arial"/>
        </w:rPr>
        <w:t xml:space="preserve"> covering all time periods not CDT.</w:t>
      </w:r>
    </w:p>
    <w:p w14:paraId="63AEE04E" w14:textId="0EC2DD9E" w:rsidR="006456A2" w:rsidRPr="00273653" w:rsidRDefault="006456A2" w:rsidP="006456A2">
      <w:pPr>
        <w:pStyle w:val="LRWLBodyText"/>
        <w:rPr>
          <w:rFonts w:cs="Arial"/>
          <w:b/>
        </w:rPr>
      </w:pPr>
      <w:r w:rsidRPr="00273653">
        <w:rPr>
          <w:rFonts w:cs="Arial"/>
          <w:b/>
          <w:u w:val="single"/>
        </w:rPr>
        <w:t>Day</w:t>
      </w:r>
      <w:r w:rsidRPr="00273653">
        <w:rPr>
          <w:rFonts w:cs="Arial"/>
          <w:b/>
        </w:rPr>
        <w:t xml:space="preserve"> </w:t>
      </w:r>
      <w:r w:rsidRPr="00273653">
        <w:rPr>
          <w:rFonts w:cs="Arial"/>
        </w:rPr>
        <w:t xml:space="preserve">means </w:t>
      </w:r>
      <w:r w:rsidR="002D71AF">
        <w:rPr>
          <w:rFonts w:cs="Arial"/>
        </w:rPr>
        <w:t>C</w:t>
      </w:r>
      <w:r w:rsidRPr="00273653">
        <w:rPr>
          <w:rFonts w:cs="Arial"/>
        </w:rPr>
        <w:t xml:space="preserve">alendar </w:t>
      </w:r>
      <w:r w:rsidR="002D71AF">
        <w:rPr>
          <w:rFonts w:cs="Arial"/>
        </w:rPr>
        <w:t>D</w:t>
      </w:r>
      <w:r w:rsidRPr="00273653">
        <w:rPr>
          <w:rFonts w:cs="Arial"/>
        </w:rPr>
        <w:t>ay unless otherwise indicated.</w:t>
      </w:r>
    </w:p>
    <w:p w14:paraId="57B8F748" w14:textId="77777777" w:rsidR="0053326E" w:rsidRDefault="007C4583" w:rsidP="006456A2">
      <w:pPr>
        <w:pStyle w:val="LRWLBodyText"/>
        <w:rPr>
          <w:rFonts w:cs="Arial"/>
        </w:rPr>
      </w:pPr>
      <w:r>
        <w:rPr>
          <w:rFonts w:cs="Arial"/>
          <w:b/>
          <w:u w:val="single"/>
        </w:rPr>
        <w:t>Department</w:t>
      </w:r>
      <w:r w:rsidRPr="00B67B9C">
        <w:rPr>
          <w:rFonts w:cs="Arial"/>
        </w:rPr>
        <w:t xml:space="preserve"> </w:t>
      </w:r>
      <w:r w:rsidRPr="00451A40">
        <w:rPr>
          <w:rFonts w:cs="Arial"/>
        </w:rPr>
        <w:t xml:space="preserve">or </w:t>
      </w:r>
      <w:r w:rsidR="006456A2" w:rsidRPr="00451A40">
        <w:rPr>
          <w:rFonts w:cs="Arial"/>
          <w:b/>
          <w:u w:val="single"/>
        </w:rPr>
        <w:t>ETF</w:t>
      </w:r>
      <w:r w:rsidR="006456A2" w:rsidRPr="00451A40">
        <w:rPr>
          <w:rFonts w:cs="Arial"/>
          <w:b/>
        </w:rPr>
        <w:t xml:space="preserve"> </w:t>
      </w:r>
      <w:r w:rsidR="006456A2" w:rsidRPr="00451A40">
        <w:rPr>
          <w:rFonts w:cs="Arial"/>
        </w:rPr>
        <w:t>means the Wisconsin Department of Employee Trust Funds.</w:t>
      </w:r>
    </w:p>
    <w:p w14:paraId="0DABD8FF" w14:textId="6DF37B17" w:rsidR="00104A41" w:rsidRDefault="00104A41" w:rsidP="006456A2">
      <w:pPr>
        <w:pStyle w:val="LRWLBodyText"/>
        <w:rPr>
          <w:rFonts w:cs="Arial"/>
        </w:rPr>
      </w:pPr>
      <w:r>
        <w:rPr>
          <w:rFonts w:cs="Arial"/>
          <w:b/>
          <w:u w:val="single"/>
        </w:rPr>
        <w:t>EAP</w:t>
      </w:r>
      <w:r w:rsidRPr="00104A41">
        <w:rPr>
          <w:rFonts w:cs="Arial"/>
        </w:rPr>
        <w:t xml:space="preserve"> means Employee Assistance Program</w:t>
      </w:r>
      <w:r w:rsidR="004A2A1F">
        <w:rPr>
          <w:rFonts w:cs="Arial"/>
        </w:rPr>
        <w:t>.</w:t>
      </w:r>
    </w:p>
    <w:p w14:paraId="66CD7263" w14:textId="5FDD49EC" w:rsidR="004A2A1F" w:rsidRDefault="004A2A1F" w:rsidP="004A2A1F">
      <w:pPr>
        <w:pStyle w:val="LRWLBodyText"/>
        <w:rPr>
          <w:rFonts w:cs="Arial"/>
        </w:rPr>
      </w:pPr>
      <w:r>
        <w:rPr>
          <w:rFonts w:cs="Arial"/>
          <w:b/>
          <w:u w:val="single"/>
        </w:rPr>
        <w:t>Employee</w:t>
      </w:r>
      <w:r w:rsidRPr="004A2A1F">
        <w:rPr>
          <w:rFonts w:cs="Arial"/>
        </w:rPr>
        <w:t xml:space="preserve"> means</w:t>
      </w:r>
      <w:r>
        <w:rPr>
          <w:rFonts w:cs="Arial"/>
        </w:rPr>
        <w:t xml:space="preserve"> an eligible Employee of the State of Wisconsin as defined under Wis. Stat. § 40.02 (25) (a), 1., 2., or (b), 1m., 2., 2g., or 8</w:t>
      </w:r>
      <w:r w:rsidR="00B927B3">
        <w:rPr>
          <w:rFonts w:cs="Arial"/>
        </w:rPr>
        <w:t>,</w:t>
      </w:r>
      <w:r w:rsidR="007D775A">
        <w:rPr>
          <w:rFonts w:cs="Arial"/>
        </w:rPr>
        <w:t xml:space="preserve"> or an eligible Employee of a Wisconsin Public Employer as defined </w:t>
      </w:r>
      <w:r w:rsidR="007D775A">
        <w:t>under Wis. Stat. § 40.02 (46) or 40.19 (4) (a).</w:t>
      </w:r>
    </w:p>
    <w:p w14:paraId="7B8657B0" w14:textId="552AB581" w:rsidR="0043039C" w:rsidRPr="0043039C" w:rsidRDefault="00C01830" w:rsidP="004A2A1F">
      <w:pPr>
        <w:pStyle w:val="LRWLBodyText"/>
        <w:rPr>
          <w:rFonts w:cs="Arial"/>
        </w:rPr>
      </w:pPr>
      <w:r w:rsidRPr="00C01830">
        <w:rPr>
          <w:rFonts w:cs="Arial"/>
          <w:b/>
          <w:u w:val="single"/>
        </w:rPr>
        <w:t>Enrollee</w:t>
      </w:r>
      <w:r>
        <w:rPr>
          <w:rFonts w:cs="Arial"/>
        </w:rPr>
        <w:t xml:space="preserve"> </w:t>
      </w:r>
      <w:r w:rsidR="0043039C" w:rsidRPr="00C01830">
        <w:rPr>
          <w:rFonts w:cs="Arial"/>
        </w:rPr>
        <w:t>or</w:t>
      </w:r>
      <w:r w:rsidR="00CB52E7">
        <w:rPr>
          <w:rFonts w:cs="Arial"/>
        </w:rPr>
        <w:t xml:space="preserve"> M</w:t>
      </w:r>
      <w:r w:rsidR="0043039C" w:rsidRPr="004A2A1F">
        <w:rPr>
          <w:rFonts w:cs="Arial"/>
        </w:rPr>
        <w:t>ember means</w:t>
      </w:r>
      <w:r w:rsidR="0049443C" w:rsidRPr="004A2A1F">
        <w:rPr>
          <w:rFonts w:cs="Arial"/>
        </w:rPr>
        <w:t xml:space="preserve"> an individual </w:t>
      </w:r>
      <w:r w:rsidR="004A2A1F" w:rsidRPr="004A2A1F">
        <w:rPr>
          <w:rFonts w:cs="Arial"/>
        </w:rPr>
        <w:t xml:space="preserve">covered by the medical </w:t>
      </w:r>
      <w:r w:rsidR="00EF5919">
        <w:rPr>
          <w:rFonts w:cs="Arial"/>
        </w:rPr>
        <w:t xml:space="preserve">benefit </w:t>
      </w:r>
      <w:r w:rsidR="004A2A1F" w:rsidRPr="004A2A1F">
        <w:rPr>
          <w:rFonts w:cs="Arial"/>
        </w:rPr>
        <w:t>plan</w:t>
      </w:r>
      <w:r w:rsidR="00EF5919">
        <w:rPr>
          <w:rFonts w:cs="Arial"/>
        </w:rPr>
        <w:t>s</w:t>
      </w:r>
      <w:r w:rsidR="004A2A1F" w:rsidRPr="004A2A1F">
        <w:rPr>
          <w:rFonts w:cs="Arial"/>
        </w:rPr>
        <w:t xml:space="preserve"> of the State of Wisconsin</w:t>
      </w:r>
      <w:r w:rsidR="004A2A1F">
        <w:rPr>
          <w:rFonts w:cs="Arial"/>
        </w:rPr>
        <w:t xml:space="preserve"> </w:t>
      </w:r>
      <w:r w:rsidR="004A2A1F" w:rsidRPr="00EF5919">
        <w:rPr>
          <w:rFonts w:cs="Arial"/>
        </w:rPr>
        <w:t>Group Health Benefit Program</w:t>
      </w:r>
      <w:r w:rsidR="004A2A1F" w:rsidRPr="004A2A1F">
        <w:rPr>
          <w:rFonts w:cs="Arial"/>
        </w:rPr>
        <w:t xml:space="preserve"> or </w:t>
      </w:r>
      <w:r w:rsidR="00B927B3">
        <w:rPr>
          <w:rFonts w:cs="Arial"/>
        </w:rPr>
        <w:t xml:space="preserve">the </w:t>
      </w:r>
      <w:r w:rsidR="004A2A1F" w:rsidRPr="004A2A1F">
        <w:rPr>
          <w:rFonts w:cs="Arial"/>
        </w:rPr>
        <w:t>Wisconsin Public Employer program.</w:t>
      </w:r>
    </w:p>
    <w:p w14:paraId="25BAC255" w14:textId="2B34BE21" w:rsidR="0043039C" w:rsidRDefault="0043039C" w:rsidP="006456A2">
      <w:pPr>
        <w:pStyle w:val="LRWLBodyText"/>
        <w:rPr>
          <w:rFonts w:cs="Arial"/>
          <w:b/>
          <w:u w:val="single"/>
        </w:rPr>
      </w:pPr>
      <w:r>
        <w:rPr>
          <w:rFonts w:cs="Arial"/>
          <w:b/>
          <w:u w:val="single"/>
        </w:rPr>
        <w:t>ETF Program Manager</w:t>
      </w:r>
      <w:r w:rsidRPr="0043039C">
        <w:rPr>
          <w:rFonts w:cs="Arial"/>
        </w:rPr>
        <w:t xml:space="preserve"> means</w:t>
      </w:r>
      <w:r w:rsidR="0049443C">
        <w:rPr>
          <w:rFonts w:cs="Arial"/>
        </w:rPr>
        <w:t xml:space="preserve"> the primary contact established by ETF for </w:t>
      </w:r>
      <w:r w:rsidR="00B927B3">
        <w:rPr>
          <w:rFonts w:cs="Arial"/>
        </w:rPr>
        <w:t>the</w:t>
      </w:r>
      <w:r w:rsidR="0049443C">
        <w:rPr>
          <w:rFonts w:cs="Arial"/>
        </w:rPr>
        <w:t xml:space="preserve"> Contract.</w:t>
      </w:r>
    </w:p>
    <w:p w14:paraId="7DAD0080" w14:textId="12A27958" w:rsidR="00537694" w:rsidRPr="00104A41" w:rsidRDefault="00537694" w:rsidP="006456A2">
      <w:pPr>
        <w:pStyle w:val="LRWLBodyText"/>
        <w:rPr>
          <w:rFonts w:cs="Arial"/>
        </w:rPr>
      </w:pPr>
      <w:r w:rsidRPr="0043039C">
        <w:rPr>
          <w:rFonts w:cs="Arial"/>
          <w:b/>
          <w:u w:val="single"/>
        </w:rPr>
        <w:t>GHIP</w:t>
      </w:r>
      <w:r>
        <w:rPr>
          <w:rFonts w:cs="Arial"/>
        </w:rPr>
        <w:t xml:space="preserve"> means the </w:t>
      </w:r>
      <w:r w:rsidR="00FD12BF">
        <w:rPr>
          <w:rFonts w:cs="Arial"/>
        </w:rPr>
        <w:t xml:space="preserve">State of Wisconsin </w:t>
      </w:r>
      <w:r>
        <w:rPr>
          <w:rFonts w:cs="Arial"/>
        </w:rPr>
        <w:t>Group Health Insurance Program</w:t>
      </w:r>
      <w:r w:rsidR="004A2A1F">
        <w:rPr>
          <w:rFonts w:cs="Arial"/>
        </w:rPr>
        <w:t>.</w:t>
      </w:r>
    </w:p>
    <w:p w14:paraId="199D15B3" w14:textId="77777777" w:rsidR="00682363" w:rsidRDefault="00682363" w:rsidP="006456A2">
      <w:pPr>
        <w:pStyle w:val="LRWLBodyText"/>
        <w:rPr>
          <w:rFonts w:cs="Arial"/>
        </w:rPr>
      </w:pPr>
      <w:r w:rsidRPr="00273653">
        <w:rPr>
          <w:rFonts w:cs="Arial"/>
          <w:b/>
          <w:u w:val="single"/>
        </w:rPr>
        <w:t>GIB</w:t>
      </w:r>
      <w:r w:rsidRPr="00273653">
        <w:rPr>
          <w:rFonts w:cs="Arial"/>
        </w:rPr>
        <w:t xml:space="preserve"> means the State of Wisconsin Group Insurance Board.</w:t>
      </w:r>
    </w:p>
    <w:p w14:paraId="0A5EA4C9" w14:textId="7FC3A918" w:rsidR="004E0B14" w:rsidRDefault="004E0B14" w:rsidP="006456A2">
      <w:pPr>
        <w:pStyle w:val="LRWLBodyText"/>
        <w:rPr>
          <w:rStyle w:val="st"/>
        </w:rPr>
      </w:pPr>
      <w:r w:rsidRPr="004E0B14">
        <w:rPr>
          <w:rFonts w:cs="Arial"/>
          <w:b/>
          <w:u w:val="single"/>
        </w:rPr>
        <w:t>GINA</w:t>
      </w:r>
      <w:r>
        <w:rPr>
          <w:rFonts w:cs="Arial"/>
        </w:rPr>
        <w:t xml:space="preserve"> means </w:t>
      </w:r>
      <w:r>
        <w:rPr>
          <w:rStyle w:val="st"/>
        </w:rPr>
        <w:t xml:space="preserve">the </w:t>
      </w:r>
      <w:r w:rsidRPr="004E0B14">
        <w:rPr>
          <w:rStyle w:val="Emphasis"/>
          <w:i w:val="0"/>
        </w:rPr>
        <w:t>Genetic Information Nondiscrimination Act</w:t>
      </w:r>
      <w:r>
        <w:rPr>
          <w:rStyle w:val="st"/>
        </w:rPr>
        <w:t xml:space="preserve"> of 2008</w:t>
      </w:r>
      <w:r w:rsidR="00900153">
        <w:rPr>
          <w:rStyle w:val="st"/>
        </w:rPr>
        <w:t>.</w:t>
      </w:r>
    </w:p>
    <w:p w14:paraId="0F0B7A3E" w14:textId="4769D467" w:rsidR="0043039C" w:rsidRPr="00247556" w:rsidRDefault="0043039C" w:rsidP="00EC4CDD">
      <w:pPr>
        <w:autoSpaceDE w:val="0"/>
        <w:autoSpaceDN w:val="0"/>
        <w:rPr>
          <w:rFonts w:cs="Arial"/>
          <w:b/>
          <w:u w:val="single"/>
        </w:rPr>
      </w:pPr>
      <w:r w:rsidRPr="00247556">
        <w:rPr>
          <w:rFonts w:ascii="Arial" w:hAnsi="Arial" w:cs="Arial"/>
          <w:b/>
          <w:u w:val="single"/>
        </w:rPr>
        <w:t>Graduate Assistant</w:t>
      </w:r>
      <w:r w:rsidRPr="00247556">
        <w:rPr>
          <w:rFonts w:ascii="Arial" w:hAnsi="Arial" w:cs="Arial"/>
        </w:rPr>
        <w:t xml:space="preserve"> </w:t>
      </w:r>
      <w:r w:rsidR="00247556">
        <w:rPr>
          <w:rFonts w:ascii="Arial" w:hAnsi="Arial" w:cs="Arial"/>
        </w:rPr>
        <w:t>is</w:t>
      </w:r>
      <w:r w:rsidR="00247556" w:rsidRPr="00E21DDC">
        <w:rPr>
          <w:rFonts w:ascii="Arial" w:hAnsi="Arial" w:cs="Arial"/>
          <w:color w:val="000000"/>
          <w:lang w:val="en"/>
        </w:rPr>
        <w:t xml:space="preserve"> defined under </w:t>
      </w:r>
      <w:r w:rsidR="00247556" w:rsidRPr="00E21DDC">
        <w:rPr>
          <w:rFonts w:ascii="Arial" w:hAnsi="Arial" w:cs="Arial"/>
        </w:rPr>
        <w:t>Wis. Stat.</w:t>
      </w:r>
      <w:r w:rsidR="00247556">
        <w:rPr>
          <w:rFonts w:ascii="Arial" w:hAnsi="Arial" w:cs="Arial"/>
        </w:rPr>
        <w:t xml:space="preserve"> </w:t>
      </w:r>
      <w:r w:rsidR="00247556" w:rsidRPr="00E21DDC">
        <w:rPr>
          <w:rFonts w:ascii="Arial" w:hAnsi="Arial" w:cs="Arial"/>
        </w:rPr>
        <w:t>§ 40.52 (3)</w:t>
      </w:r>
      <w:r w:rsidR="00247556">
        <w:rPr>
          <w:rFonts w:ascii="Arial" w:hAnsi="Arial" w:cs="Arial"/>
        </w:rPr>
        <w:t>, and</w:t>
      </w:r>
      <w:r w:rsidR="00247556" w:rsidRPr="00C94564">
        <w:rPr>
          <w:rFonts w:ascii="Arial" w:hAnsi="Arial" w:cs="Arial"/>
        </w:rPr>
        <w:t xml:space="preserve"> means</w:t>
      </w:r>
      <w:r w:rsidR="00247556" w:rsidRPr="00247556">
        <w:rPr>
          <w:rFonts w:ascii="Arial" w:hAnsi="Arial" w:cs="Arial"/>
        </w:rPr>
        <w:t xml:space="preserve"> </w:t>
      </w:r>
      <w:r w:rsidR="00247556" w:rsidRPr="00EC4CDD">
        <w:rPr>
          <w:rFonts w:ascii="Arial" w:hAnsi="Arial" w:cs="Arial"/>
          <w:color w:val="000000"/>
          <w:lang w:val="en"/>
        </w:rPr>
        <w:t xml:space="preserve">graduate assistants, teaching assistants, and employees-in-training designated by the </w:t>
      </w:r>
      <w:r w:rsidR="00B927B3">
        <w:rPr>
          <w:rFonts w:ascii="Arial" w:hAnsi="Arial" w:cs="Arial"/>
          <w:color w:val="000000"/>
          <w:lang w:val="en"/>
        </w:rPr>
        <w:t>B</w:t>
      </w:r>
      <w:r w:rsidR="00247556" w:rsidRPr="00EC4CDD">
        <w:rPr>
          <w:rFonts w:ascii="Arial" w:hAnsi="Arial" w:cs="Arial"/>
          <w:color w:val="000000"/>
          <w:lang w:val="en"/>
        </w:rPr>
        <w:t xml:space="preserve">oard of </w:t>
      </w:r>
      <w:r w:rsidR="00B927B3">
        <w:rPr>
          <w:rFonts w:ascii="Arial" w:hAnsi="Arial" w:cs="Arial"/>
          <w:color w:val="000000"/>
          <w:lang w:val="en"/>
        </w:rPr>
        <w:t>R</w:t>
      </w:r>
      <w:r w:rsidR="00247556" w:rsidRPr="00EC4CDD">
        <w:rPr>
          <w:rFonts w:ascii="Arial" w:hAnsi="Arial" w:cs="Arial"/>
          <w:color w:val="000000"/>
          <w:lang w:val="en"/>
        </w:rPr>
        <w:t>egents</w:t>
      </w:r>
      <w:r w:rsidR="00B927B3" w:rsidRPr="00B927B3">
        <w:rPr>
          <w:rFonts w:ascii="Arial" w:hAnsi="Arial" w:cs="Arial"/>
          <w:color w:val="000000"/>
          <w:lang w:val="en"/>
        </w:rPr>
        <w:t xml:space="preserve"> </w:t>
      </w:r>
      <w:r w:rsidR="00B927B3">
        <w:rPr>
          <w:rFonts w:ascii="Arial" w:hAnsi="Arial" w:cs="Arial"/>
          <w:color w:val="000000"/>
          <w:lang w:val="en"/>
        </w:rPr>
        <w:t>of</w:t>
      </w:r>
      <w:r w:rsidR="00EB77ED">
        <w:rPr>
          <w:rFonts w:ascii="Arial" w:hAnsi="Arial" w:cs="Arial"/>
          <w:color w:val="000000"/>
          <w:lang w:val="en"/>
        </w:rPr>
        <w:t xml:space="preserve"> the University of Wisconsin </w:t>
      </w:r>
      <w:r w:rsidR="00B927B3">
        <w:rPr>
          <w:rFonts w:ascii="Arial" w:hAnsi="Arial" w:cs="Arial"/>
          <w:color w:val="000000"/>
          <w:lang w:val="en"/>
        </w:rPr>
        <w:t>System</w:t>
      </w:r>
      <w:r w:rsidR="00247556" w:rsidRPr="00EC4CDD">
        <w:rPr>
          <w:rFonts w:ascii="Arial" w:hAnsi="Arial" w:cs="Arial"/>
          <w:color w:val="000000"/>
          <w:lang w:val="en"/>
        </w:rPr>
        <w:t xml:space="preserve">, who are employed on at least a one-third full-time basis and for teachers who are employed on at least a one-third full-time basis by the University of Wisconsin System with an expected duration of employment of at least </w:t>
      </w:r>
      <w:r w:rsidR="00EB77ED">
        <w:rPr>
          <w:rFonts w:ascii="Arial" w:hAnsi="Arial" w:cs="Arial"/>
          <w:color w:val="000000"/>
          <w:lang w:val="en"/>
        </w:rPr>
        <w:t>six (</w:t>
      </w:r>
      <w:r w:rsidR="00247556" w:rsidRPr="00EC4CDD">
        <w:rPr>
          <w:rFonts w:ascii="Arial" w:hAnsi="Arial" w:cs="Arial"/>
          <w:color w:val="000000"/>
          <w:lang w:val="en"/>
        </w:rPr>
        <w:t>6</w:t>
      </w:r>
      <w:r w:rsidR="00EB77ED">
        <w:rPr>
          <w:rFonts w:ascii="Arial" w:hAnsi="Arial" w:cs="Arial"/>
          <w:color w:val="000000"/>
          <w:lang w:val="en"/>
        </w:rPr>
        <w:t>)</w:t>
      </w:r>
      <w:r w:rsidR="00247556" w:rsidRPr="00EC4CDD">
        <w:rPr>
          <w:rFonts w:ascii="Arial" w:hAnsi="Arial" w:cs="Arial"/>
          <w:color w:val="000000"/>
          <w:lang w:val="en"/>
        </w:rPr>
        <w:t xml:space="preserve"> months but less than one </w:t>
      </w:r>
      <w:r w:rsidR="00EB77ED">
        <w:rPr>
          <w:rFonts w:ascii="Arial" w:hAnsi="Arial" w:cs="Arial"/>
          <w:color w:val="000000"/>
          <w:lang w:val="en"/>
        </w:rPr>
        <w:t xml:space="preserve">(1) </w:t>
      </w:r>
      <w:r w:rsidR="00247556" w:rsidRPr="00EC4CDD">
        <w:rPr>
          <w:rFonts w:ascii="Arial" w:hAnsi="Arial" w:cs="Arial"/>
          <w:color w:val="000000"/>
          <w:lang w:val="en"/>
        </w:rPr>
        <w:t>year</w:t>
      </w:r>
      <w:r w:rsidR="00247556">
        <w:rPr>
          <w:rFonts w:ascii="Arial" w:hAnsi="Arial" w:cs="Arial"/>
          <w:color w:val="000000"/>
          <w:lang w:val="en"/>
        </w:rPr>
        <w:t>.</w:t>
      </w:r>
      <w:r w:rsidR="00247556" w:rsidRPr="00EC4CDD">
        <w:rPr>
          <w:rFonts w:ascii="Arial" w:hAnsi="Arial" w:cs="Arial"/>
          <w:color w:val="000000"/>
          <w:lang w:val="en"/>
        </w:rPr>
        <w:t xml:space="preserve"> </w:t>
      </w:r>
    </w:p>
    <w:p w14:paraId="74D20B47" w14:textId="103AECEA" w:rsidR="004E0B14" w:rsidRDefault="004E0B14" w:rsidP="006456A2">
      <w:pPr>
        <w:pStyle w:val="LRWLBodyText"/>
        <w:rPr>
          <w:rFonts w:cs="Arial"/>
        </w:rPr>
      </w:pPr>
      <w:r w:rsidRPr="004E0B14">
        <w:rPr>
          <w:rFonts w:cs="Arial"/>
          <w:b/>
          <w:u w:val="single"/>
        </w:rPr>
        <w:t>HIPAA</w:t>
      </w:r>
      <w:r w:rsidRPr="004E0B14">
        <w:rPr>
          <w:rFonts w:cs="Arial"/>
          <w:b/>
        </w:rPr>
        <w:t xml:space="preserve"> </w:t>
      </w:r>
      <w:r>
        <w:rPr>
          <w:rFonts w:cs="Arial"/>
        </w:rPr>
        <w:t xml:space="preserve">means </w:t>
      </w:r>
      <w:r w:rsidRPr="00273653">
        <w:rPr>
          <w:rFonts w:cs="Arial"/>
        </w:rPr>
        <w:t>the Health Insurance Portability and Accountability Act of 1996</w:t>
      </w:r>
      <w:r w:rsidR="00900153">
        <w:rPr>
          <w:rFonts w:cs="Arial"/>
        </w:rPr>
        <w:t>.</w:t>
      </w:r>
    </w:p>
    <w:p w14:paraId="577F0298" w14:textId="3E937356" w:rsidR="004E0B14" w:rsidRPr="00273653" w:rsidRDefault="004E0B14" w:rsidP="006456A2">
      <w:pPr>
        <w:pStyle w:val="LRWLBodyText"/>
        <w:rPr>
          <w:rFonts w:cs="Arial"/>
          <w:b/>
        </w:rPr>
      </w:pPr>
      <w:r w:rsidRPr="004E0B14">
        <w:rPr>
          <w:rFonts w:cs="Arial"/>
          <w:b/>
          <w:u w:val="single"/>
        </w:rPr>
        <w:t>HRA</w:t>
      </w:r>
      <w:r w:rsidRPr="004E0B14">
        <w:rPr>
          <w:rFonts w:cs="Arial"/>
          <w:b/>
        </w:rPr>
        <w:t xml:space="preserve"> </w:t>
      </w:r>
      <w:r>
        <w:rPr>
          <w:rFonts w:cs="Arial"/>
        </w:rPr>
        <w:t>means the health risk assessment.</w:t>
      </w:r>
    </w:p>
    <w:p w14:paraId="2C981287" w14:textId="3B711B26" w:rsidR="00247556" w:rsidRPr="007F759B" w:rsidRDefault="00247556" w:rsidP="00247556">
      <w:pPr>
        <w:pStyle w:val="LRWLBodyText"/>
        <w:rPr>
          <w:rFonts w:cs="Arial"/>
        </w:rPr>
      </w:pPr>
      <w:r>
        <w:rPr>
          <w:rFonts w:cs="Arial"/>
          <w:b/>
          <w:u w:val="single"/>
        </w:rPr>
        <w:t>Individual Personal Information</w:t>
      </w:r>
      <w:r w:rsidRPr="007B0B4F">
        <w:rPr>
          <w:rFonts w:cs="Arial"/>
        </w:rPr>
        <w:t xml:space="preserve"> or </w:t>
      </w:r>
      <w:r w:rsidRPr="007B0B4F">
        <w:rPr>
          <w:rFonts w:cs="Arial"/>
          <w:b/>
          <w:u w:val="single"/>
        </w:rPr>
        <w:t xml:space="preserve">IPI </w:t>
      </w:r>
      <w:r>
        <w:rPr>
          <w:rFonts w:cs="Arial"/>
        </w:rPr>
        <w:t xml:space="preserve">is </w:t>
      </w:r>
      <w:r w:rsidRPr="007F759B">
        <w:rPr>
          <w:rFonts w:cs="Arial"/>
        </w:rPr>
        <w:t xml:space="preserve">defined in Wisconsin Administrative Code </w:t>
      </w:r>
      <w:r>
        <w:rPr>
          <w:rFonts w:cs="Arial"/>
        </w:rPr>
        <w:t xml:space="preserve">§ </w:t>
      </w:r>
      <w:r w:rsidRPr="007F759B">
        <w:rPr>
          <w:rFonts w:cs="Arial"/>
        </w:rPr>
        <w:t>ETF 10.70</w:t>
      </w:r>
      <w:r w:rsidR="00700879">
        <w:rPr>
          <w:rFonts w:cs="Arial"/>
        </w:rPr>
        <w:t>(1)</w:t>
      </w:r>
      <w:r>
        <w:rPr>
          <w:rFonts w:cs="Arial"/>
        </w:rPr>
        <w:t xml:space="preserve">, and </w:t>
      </w:r>
      <w:r w:rsidR="00B927B3">
        <w:rPr>
          <w:rFonts w:cs="Arial"/>
        </w:rPr>
        <w:t>means</w:t>
      </w:r>
      <w:r>
        <w:rPr>
          <w:color w:val="000000"/>
          <w:lang w:val="en"/>
        </w:rPr>
        <w:t xml:space="preserve"> all information in any individual record of the </w:t>
      </w:r>
      <w:r w:rsidR="00B927B3">
        <w:rPr>
          <w:color w:val="000000"/>
          <w:lang w:val="en"/>
        </w:rPr>
        <w:t>D</w:t>
      </w:r>
      <w:r>
        <w:rPr>
          <w:color w:val="000000"/>
          <w:lang w:val="en"/>
        </w:rPr>
        <w:t>epartment, including the date of birth, earnings, contributions, interest credits, beneficiary designations, creditable service, marital or domestic partnership status, address, and social security number, but does not include information in any statistical report, other report or summary in which individual identification is not possible</w:t>
      </w:r>
      <w:r w:rsidRPr="007F759B">
        <w:rPr>
          <w:rFonts w:cs="Arial"/>
        </w:rPr>
        <w:t>.</w:t>
      </w:r>
    </w:p>
    <w:p w14:paraId="3A563943" w14:textId="77777777" w:rsidR="006456A2" w:rsidRDefault="006456A2" w:rsidP="006456A2">
      <w:pPr>
        <w:pStyle w:val="LRWLBodyText"/>
        <w:rPr>
          <w:rFonts w:cs="Arial"/>
        </w:rPr>
      </w:pPr>
      <w:r w:rsidRPr="00273653">
        <w:rPr>
          <w:rFonts w:cs="Arial"/>
          <w:b/>
          <w:u w:val="single"/>
        </w:rPr>
        <w:t>Mandatory</w:t>
      </w:r>
      <w:r w:rsidRPr="00273653">
        <w:rPr>
          <w:rFonts w:cs="Arial"/>
          <w:b/>
        </w:rPr>
        <w:t xml:space="preserve"> </w:t>
      </w:r>
      <w:r w:rsidRPr="00273653">
        <w:rPr>
          <w:rFonts w:cs="Arial"/>
        </w:rPr>
        <w:t xml:space="preserve">means the least possible threshold, functionality, degree, performance, etc. needed to meet the mandatory requirement. </w:t>
      </w:r>
    </w:p>
    <w:p w14:paraId="19FA7851" w14:textId="6FEAD3D7" w:rsidR="00EF5919" w:rsidRPr="0043039C" w:rsidRDefault="00EF5919" w:rsidP="00EF5919">
      <w:pPr>
        <w:pStyle w:val="LRWLBodyText"/>
        <w:rPr>
          <w:rFonts w:cs="Arial"/>
        </w:rPr>
      </w:pPr>
      <w:r>
        <w:rPr>
          <w:rFonts w:cs="Arial"/>
          <w:b/>
          <w:u w:val="single"/>
        </w:rPr>
        <w:lastRenderedPageBreak/>
        <w:t>Member</w:t>
      </w:r>
      <w:r w:rsidRPr="00EC4CDD">
        <w:rPr>
          <w:rFonts w:cs="Arial"/>
          <w:b/>
        </w:rPr>
        <w:t xml:space="preserve"> </w:t>
      </w:r>
      <w:r w:rsidRPr="004A2A1F">
        <w:rPr>
          <w:rFonts w:cs="Arial"/>
        </w:rPr>
        <w:t xml:space="preserve">or </w:t>
      </w:r>
      <w:r w:rsidR="00120707">
        <w:rPr>
          <w:rFonts w:cs="Arial"/>
        </w:rPr>
        <w:t>E</w:t>
      </w:r>
      <w:r>
        <w:rPr>
          <w:rFonts w:cs="Arial"/>
        </w:rPr>
        <w:t>nrollee</w:t>
      </w:r>
      <w:r w:rsidRPr="004A2A1F">
        <w:rPr>
          <w:rFonts w:cs="Arial"/>
        </w:rPr>
        <w:t xml:space="preserve"> means an individual covered by the medical </w:t>
      </w:r>
      <w:r>
        <w:rPr>
          <w:rFonts w:cs="Arial"/>
        </w:rPr>
        <w:t xml:space="preserve">benefit </w:t>
      </w:r>
      <w:r w:rsidRPr="004A2A1F">
        <w:rPr>
          <w:rFonts w:cs="Arial"/>
        </w:rPr>
        <w:t>plan</w:t>
      </w:r>
      <w:r>
        <w:rPr>
          <w:rFonts w:cs="Arial"/>
        </w:rPr>
        <w:t>s</w:t>
      </w:r>
      <w:r w:rsidRPr="004A2A1F">
        <w:rPr>
          <w:rFonts w:cs="Arial"/>
        </w:rPr>
        <w:t xml:space="preserve"> of the State of Wisconsin</w:t>
      </w:r>
      <w:r>
        <w:rPr>
          <w:rFonts w:cs="Arial"/>
        </w:rPr>
        <w:t xml:space="preserve"> </w:t>
      </w:r>
      <w:r w:rsidRPr="00EF5919">
        <w:rPr>
          <w:rFonts w:cs="Arial"/>
        </w:rPr>
        <w:t>Group Health Benefit Program</w:t>
      </w:r>
      <w:r w:rsidRPr="004A2A1F">
        <w:rPr>
          <w:rFonts w:cs="Arial"/>
        </w:rPr>
        <w:t xml:space="preserve"> or </w:t>
      </w:r>
      <w:r w:rsidR="00B927B3">
        <w:rPr>
          <w:rFonts w:cs="Arial"/>
        </w:rPr>
        <w:t xml:space="preserve">the </w:t>
      </w:r>
      <w:r w:rsidRPr="004A2A1F">
        <w:rPr>
          <w:rFonts w:cs="Arial"/>
        </w:rPr>
        <w:t>Wisconsin Public Employer program.</w:t>
      </w:r>
    </w:p>
    <w:p w14:paraId="74FFE656" w14:textId="7F087D3D" w:rsidR="0095572D" w:rsidRPr="00273653" w:rsidRDefault="0095572D" w:rsidP="006456A2">
      <w:pPr>
        <w:pStyle w:val="LRWLBodyText"/>
        <w:rPr>
          <w:rFonts w:cs="Arial"/>
        </w:rPr>
      </w:pPr>
      <w:r w:rsidRPr="00E07520">
        <w:rPr>
          <w:rFonts w:cs="Arial"/>
          <w:b/>
          <w:u w:val="single"/>
        </w:rPr>
        <w:t>Participant</w:t>
      </w:r>
      <w:r w:rsidRPr="00E07520">
        <w:rPr>
          <w:rFonts w:cs="Arial"/>
          <w:b/>
        </w:rPr>
        <w:t xml:space="preserve"> </w:t>
      </w:r>
      <w:r w:rsidRPr="0095572D">
        <w:rPr>
          <w:rFonts w:cs="Arial"/>
        </w:rPr>
        <w:t>means</w:t>
      </w:r>
      <w:r w:rsidR="006A5F95">
        <w:rPr>
          <w:rFonts w:cs="Arial"/>
        </w:rPr>
        <w:t xml:space="preserve"> an individual enrolled in the State of Wisconsin Group Health Insurance program </w:t>
      </w:r>
      <w:r w:rsidR="00A53168">
        <w:rPr>
          <w:rFonts w:cs="Arial"/>
        </w:rPr>
        <w:t xml:space="preserve">or </w:t>
      </w:r>
      <w:r w:rsidR="00B927B3">
        <w:rPr>
          <w:rFonts w:cs="Arial"/>
        </w:rPr>
        <w:t xml:space="preserve">the </w:t>
      </w:r>
      <w:r w:rsidR="00A53168">
        <w:rPr>
          <w:rFonts w:cs="Arial"/>
        </w:rPr>
        <w:t xml:space="preserve">Wisconsin Public Employer program </w:t>
      </w:r>
      <w:r w:rsidR="006A5F95">
        <w:rPr>
          <w:rFonts w:cs="Arial"/>
        </w:rPr>
        <w:t>who is utilizing services provided by the Contractor as part of the wellness or disease management programs offered as part of the</w:t>
      </w:r>
      <w:r w:rsidR="00A000BF">
        <w:rPr>
          <w:rFonts w:cs="Arial"/>
        </w:rPr>
        <w:t xml:space="preserve"> </w:t>
      </w:r>
      <w:r w:rsidR="00A53168">
        <w:rPr>
          <w:rFonts w:cs="Arial"/>
        </w:rPr>
        <w:t>State of Wisconsin Group Health Insurance program or Wisconsin Public Employer program</w:t>
      </w:r>
      <w:r w:rsidR="006A5F95">
        <w:rPr>
          <w:rFonts w:cs="Arial"/>
        </w:rPr>
        <w:t xml:space="preserve">. </w:t>
      </w:r>
    </w:p>
    <w:p w14:paraId="55F5C0FC" w14:textId="1498303C" w:rsidR="0043039C" w:rsidRPr="00900153" w:rsidRDefault="00900153" w:rsidP="006456A2">
      <w:pPr>
        <w:pStyle w:val="LRWLBodyText"/>
        <w:rPr>
          <w:rFonts w:cs="Arial"/>
        </w:rPr>
      </w:pPr>
      <w:r>
        <w:rPr>
          <w:rFonts w:cs="Arial"/>
          <w:b/>
          <w:u w:val="single"/>
        </w:rPr>
        <w:t>Program Launch Date</w:t>
      </w:r>
      <w:r>
        <w:rPr>
          <w:rFonts w:cs="Arial"/>
        </w:rPr>
        <w:t xml:space="preserve"> </w:t>
      </w:r>
      <w:r w:rsidR="00B927B3">
        <w:rPr>
          <w:rFonts w:cs="Arial"/>
        </w:rPr>
        <w:t>m</w:t>
      </w:r>
      <w:r w:rsidR="00330E1F">
        <w:rPr>
          <w:rFonts w:cs="Arial"/>
        </w:rPr>
        <w:t>eans the date</w:t>
      </w:r>
      <w:r w:rsidR="00B927B3">
        <w:rPr>
          <w:rFonts w:cs="Arial"/>
        </w:rPr>
        <w:t xml:space="preserve"> </w:t>
      </w:r>
      <w:r>
        <w:rPr>
          <w:rFonts w:cs="Arial"/>
        </w:rPr>
        <w:t xml:space="preserve">identified in Section </w:t>
      </w:r>
      <w:r w:rsidR="00491514">
        <w:rPr>
          <w:rFonts w:cs="Arial"/>
        </w:rPr>
        <w:t>5.1</w:t>
      </w:r>
      <w:r w:rsidR="00066205">
        <w:rPr>
          <w:rFonts w:cs="Arial"/>
        </w:rPr>
        <w:t xml:space="preserve"> D</w:t>
      </w:r>
      <w:r w:rsidR="00491514">
        <w:rPr>
          <w:rFonts w:cs="Arial"/>
        </w:rPr>
        <w:t xml:space="preserve"> </w:t>
      </w:r>
      <w:r>
        <w:rPr>
          <w:rFonts w:cs="Arial"/>
        </w:rPr>
        <w:t>of th</w:t>
      </w:r>
      <w:r w:rsidR="00330E1F">
        <w:rPr>
          <w:rFonts w:cs="Arial"/>
        </w:rPr>
        <w:t>is</w:t>
      </w:r>
      <w:r>
        <w:rPr>
          <w:rFonts w:cs="Arial"/>
        </w:rPr>
        <w:t xml:space="preserve"> RFP.</w:t>
      </w:r>
    </w:p>
    <w:p w14:paraId="5412D63F" w14:textId="34E9444A" w:rsidR="006456A2" w:rsidRPr="00273653" w:rsidRDefault="006456A2" w:rsidP="006456A2">
      <w:pPr>
        <w:pStyle w:val="LRWLBodyText"/>
        <w:rPr>
          <w:rFonts w:cs="Arial"/>
        </w:rPr>
      </w:pPr>
      <w:r w:rsidRPr="00273653">
        <w:rPr>
          <w:rFonts w:cs="Arial"/>
          <w:b/>
          <w:u w:val="single"/>
        </w:rPr>
        <w:t>Proposal</w:t>
      </w:r>
      <w:r w:rsidRPr="00273653">
        <w:rPr>
          <w:rFonts w:cs="Arial"/>
        </w:rPr>
        <w:t xml:space="preserve"> means the complete response of a Proposer submitted on the approved forms and setting forth the Proposer’s </w:t>
      </w:r>
      <w:r w:rsidR="00AB0F74">
        <w:rPr>
          <w:rFonts w:cs="Arial"/>
        </w:rPr>
        <w:t>pricing</w:t>
      </w:r>
      <w:r w:rsidR="00AB0F74" w:rsidRPr="00273653">
        <w:rPr>
          <w:rFonts w:cs="Arial"/>
        </w:rPr>
        <w:t xml:space="preserve"> </w:t>
      </w:r>
      <w:r w:rsidRPr="00273653">
        <w:rPr>
          <w:rFonts w:cs="Arial"/>
        </w:rPr>
        <w:t xml:space="preserve">for providing the </w:t>
      </w:r>
      <w:r w:rsidR="00330E1F">
        <w:rPr>
          <w:rFonts w:cs="Arial"/>
        </w:rPr>
        <w:t>S</w:t>
      </w:r>
      <w:r w:rsidRPr="00273653">
        <w:rPr>
          <w:rFonts w:cs="Arial"/>
        </w:rPr>
        <w:t xml:space="preserve">ervices described in </w:t>
      </w:r>
      <w:r w:rsidR="00330E1F">
        <w:rPr>
          <w:rFonts w:cs="Arial"/>
        </w:rPr>
        <w:t>this</w:t>
      </w:r>
      <w:r w:rsidR="00330E1F" w:rsidRPr="00273653">
        <w:rPr>
          <w:rFonts w:cs="Arial"/>
        </w:rPr>
        <w:t xml:space="preserve"> </w:t>
      </w:r>
      <w:r w:rsidRPr="00273653">
        <w:rPr>
          <w:rFonts w:cs="Arial"/>
        </w:rPr>
        <w:t>RFP</w:t>
      </w:r>
      <w:r w:rsidR="00E56A39">
        <w:rPr>
          <w:rFonts w:cs="Arial"/>
        </w:rPr>
        <w:t>, which includes all attachments</w:t>
      </w:r>
      <w:r w:rsidR="00330E1F">
        <w:rPr>
          <w:rFonts w:cs="Arial"/>
        </w:rPr>
        <w:t>, exhibits, appendices and all other documents referenced herein</w:t>
      </w:r>
      <w:r w:rsidRPr="00273653">
        <w:rPr>
          <w:rFonts w:cs="Arial"/>
        </w:rPr>
        <w:t>.</w:t>
      </w:r>
    </w:p>
    <w:p w14:paraId="71B2092C" w14:textId="3F178E5E" w:rsidR="006456A2" w:rsidRPr="00273653" w:rsidRDefault="006456A2" w:rsidP="006456A2">
      <w:pPr>
        <w:pStyle w:val="LRWLBodyText"/>
        <w:rPr>
          <w:rFonts w:cs="Arial"/>
        </w:rPr>
      </w:pPr>
      <w:r w:rsidRPr="00273653">
        <w:rPr>
          <w:rFonts w:cs="Arial"/>
          <w:b/>
          <w:u w:val="single"/>
        </w:rPr>
        <w:t>Proposer</w:t>
      </w:r>
      <w:r w:rsidRPr="00273653">
        <w:rPr>
          <w:rFonts w:cs="Arial"/>
        </w:rPr>
        <w:t xml:space="preserve"> means any individual, company, corporation, or other entity that responds to this RFP</w:t>
      </w:r>
      <w:r w:rsidR="005D13D4">
        <w:rPr>
          <w:rFonts w:cs="Arial"/>
        </w:rPr>
        <w:t>.</w:t>
      </w:r>
      <w:r w:rsidRPr="00273653">
        <w:rPr>
          <w:rFonts w:cs="Arial"/>
        </w:rPr>
        <w:t xml:space="preserve"> Used interchangeably with “Vendor</w:t>
      </w:r>
      <w:r w:rsidR="003860E5">
        <w:rPr>
          <w:rFonts w:cs="Arial"/>
        </w:rPr>
        <w:t>,</w:t>
      </w:r>
      <w:r w:rsidRPr="00273653">
        <w:rPr>
          <w:rFonts w:cs="Arial"/>
        </w:rPr>
        <w:t>”</w:t>
      </w:r>
      <w:r w:rsidR="00BE3A23">
        <w:rPr>
          <w:rFonts w:cs="Arial"/>
        </w:rPr>
        <w:t xml:space="preserve"> </w:t>
      </w:r>
      <w:r w:rsidR="003860E5">
        <w:rPr>
          <w:rFonts w:cs="Arial"/>
        </w:rPr>
        <w:t xml:space="preserve">Proposer </w:t>
      </w:r>
      <w:r w:rsidRPr="00273653">
        <w:rPr>
          <w:rFonts w:cs="Arial"/>
        </w:rPr>
        <w:t xml:space="preserve">means a firm or individual submitting a </w:t>
      </w:r>
      <w:r w:rsidR="0029723D">
        <w:rPr>
          <w:rFonts w:cs="Arial"/>
        </w:rPr>
        <w:t>Proposal</w:t>
      </w:r>
      <w:r w:rsidRPr="00273653">
        <w:rPr>
          <w:rFonts w:cs="Arial"/>
        </w:rPr>
        <w:t xml:space="preserve"> in response to this RFP.</w:t>
      </w:r>
    </w:p>
    <w:p w14:paraId="5616D877" w14:textId="77777777" w:rsidR="002D3BCF" w:rsidRPr="00273653" w:rsidRDefault="002D3BCF" w:rsidP="006456A2">
      <w:pPr>
        <w:pStyle w:val="LRWLBodyText"/>
        <w:rPr>
          <w:rFonts w:cs="Arial"/>
        </w:rPr>
      </w:pPr>
      <w:r w:rsidRPr="00273653">
        <w:rPr>
          <w:rFonts w:cs="Arial"/>
          <w:b/>
          <w:u w:val="single"/>
        </w:rPr>
        <w:t>Protected Health Information</w:t>
      </w:r>
      <w:r w:rsidRPr="00273653">
        <w:rPr>
          <w:rFonts w:cs="Arial"/>
        </w:rPr>
        <w:t xml:space="preserve"> or</w:t>
      </w:r>
      <w:r w:rsidRPr="00273653">
        <w:rPr>
          <w:rFonts w:cs="Arial"/>
          <w:b/>
        </w:rPr>
        <w:t xml:space="preserve"> </w:t>
      </w:r>
      <w:r w:rsidRPr="007B0B4F">
        <w:rPr>
          <w:rFonts w:cs="Arial"/>
          <w:b/>
          <w:u w:val="single"/>
        </w:rPr>
        <w:t>PHI</w:t>
      </w:r>
      <w:r w:rsidRPr="00273653">
        <w:rPr>
          <w:rFonts w:cs="Arial"/>
        </w:rPr>
        <w:t xml:space="preserve"> is health information protected under </w:t>
      </w:r>
      <w:r w:rsidR="00E0277A" w:rsidRPr="00273653">
        <w:rPr>
          <w:rFonts w:cs="Arial"/>
        </w:rPr>
        <w:t>the Health Insurance Portability and Accountability Act of 1996 (</w:t>
      </w:r>
      <w:r w:rsidRPr="00273653">
        <w:rPr>
          <w:rFonts w:cs="Arial"/>
        </w:rPr>
        <w:t>HIPAA</w:t>
      </w:r>
      <w:r w:rsidR="00E0277A" w:rsidRPr="00273653">
        <w:rPr>
          <w:rFonts w:cs="Arial"/>
        </w:rPr>
        <w:t>)</w:t>
      </w:r>
      <w:r w:rsidR="008C6C71" w:rsidRPr="00273653">
        <w:rPr>
          <w:rFonts w:cs="Arial"/>
        </w:rPr>
        <w:t xml:space="preserve">, </w:t>
      </w:r>
      <w:r w:rsidR="00B67B9C">
        <w:rPr>
          <w:rFonts w:cs="Arial"/>
        </w:rPr>
        <w:t xml:space="preserve">Title </w:t>
      </w:r>
      <w:r w:rsidR="008C6C71" w:rsidRPr="00273653">
        <w:rPr>
          <w:rFonts w:cs="Arial"/>
        </w:rPr>
        <w:t xml:space="preserve">45 </w:t>
      </w:r>
      <w:r w:rsidR="00B67B9C">
        <w:rPr>
          <w:rFonts w:cs="Arial"/>
        </w:rPr>
        <w:t xml:space="preserve">of the </w:t>
      </w:r>
      <w:r w:rsidR="008C6C71" w:rsidRPr="00273653">
        <w:rPr>
          <w:rFonts w:cs="Arial"/>
        </w:rPr>
        <w:t>C</w:t>
      </w:r>
      <w:r w:rsidR="00B67B9C">
        <w:rPr>
          <w:rFonts w:cs="Arial"/>
        </w:rPr>
        <w:t>ode of Federal Regulations,</w:t>
      </w:r>
      <w:r w:rsidR="008C6C71" w:rsidRPr="00273653">
        <w:rPr>
          <w:rFonts w:cs="Arial"/>
        </w:rPr>
        <w:t xml:space="preserve"> </w:t>
      </w:r>
      <w:r w:rsidR="00B67B9C">
        <w:rPr>
          <w:rFonts w:cs="Arial"/>
        </w:rPr>
        <w:t xml:space="preserve">section </w:t>
      </w:r>
      <w:r w:rsidR="008C6C71" w:rsidRPr="00273653">
        <w:rPr>
          <w:rFonts w:cs="Arial"/>
        </w:rPr>
        <w:t>160.103</w:t>
      </w:r>
      <w:r w:rsidRPr="00273653">
        <w:rPr>
          <w:rFonts w:cs="Arial"/>
        </w:rPr>
        <w:t>.</w:t>
      </w:r>
    </w:p>
    <w:p w14:paraId="457B3442" w14:textId="77777777" w:rsidR="006456A2" w:rsidRPr="00273653" w:rsidRDefault="006456A2" w:rsidP="006456A2">
      <w:pPr>
        <w:pStyle w:val="LRWLBodyText"/>
        <w:rPr>
          <w:rFonts w:cs="Arial"/>
        </w:rPr>
      </w:pPr>
      <w:r w:rsidRPr="00273653">
        <w:rPr>
          <w:rFonts w:cs="Arial"/>
          <w:b/>
          <w:u w:val="single"/>
        </w:rPr>
        <w:t>RFP</w:t>
      </w:r>
      <w:r w:rsidRPr="00273653">
        <w:rPr>
          <w:rFonts w:cs="Arial"/>
        </w:rPr>
        <w:t xml:space="preserve"> means Request for Proposal.</w:t>
      </w:r>
    </w:p>
    <w:p w14:paraId="22909874" w14:textId="77777777" w:rsidR="006456A2" w:rsidRPr="00273653" w:rsidRDefault="006456A2" w:rsidP="006456A2">
      <w:pPr>
        <w:pStyle w:val="LRWLBodyText"/>
        <w:rPr>
          <w:rFonts w:cs="Arial"/>
        </w:rPr>
      </w:pPr>
      <w:r w:rsidRPr="00273653">
        <w:rPr>
          <w:rFonts w:cs="Arial"/>
          <w:b/>
          <w:u w:val="single"/>
        </w:rPr>
        <w:t>Services</w:t>
      </w:r>
      <w:r w:rsidRPr="00273653">
        <w:rPr>
          <w:rFonts w:cs="Arial"/>
        </w:rPr>
        <w:t xml:space="preserve"> means all work performed, and labor, actions, recommendations, plans, research, and documentation provided by the Contractor necessary to fulfill that which the Contractor is obligated to provide under the Contract. </w:t>
      </w:r>
    </w:p>
    <w:p w14:paraId="203550C4" w14:textId="77777777" w:rsidR="006456A2" w:rsidRPr="00273653" w:rsidRDefault="006456A2" w:rsidP="006456A2">
      <w:pPr>
        <w:pStyle w:val="LRWLBodyText"/>
        <w:rPr>
          <w:rFonts w:cs="Arial"/>
        </w:rPr>
      </w:pPr>
      <w:r w:rsidRPr="00273653">
        <w:rPr>
          <w:rFonts w:cs="Arial"/>
          <w:b/>
          <w:u w:val="single"/>
        </w:rPr>
        <w:t>State</w:t>
      </w:r>
      <w:r w:rsidRPr="00273653">
        <w:rPr>
          <w:rFonts w:cs="Arial"/>
        </w:rPr>
        <w:t xml:space="preserve"> means the State of Wisconsin.</w:t>
      </w:r>
    </w:p>
    <w:p w14:paraId="386832A4" w14:textId="42063BF3" w:rsidR="006456A2" w:rsidRPr="00273653" w:rsidRDefault="006456A2" w:rsidP="006456A2">
      <w:pPr>
        <w:pStyle w:val="LRWLBodyText"/>
        <w:rPr>
          <w:rFonts w:cs="Arial"/>
        </w:rPr>
      </w:pPr>
      <w:r w:rsidRPr="00273653">
        <w:rPr>
          <w:rFonts w:cs="Arial"/>
          <w:b/>
          <w:u w:val="single"/>
        </w:rPr>
        <w:t>State Statutes</w:t>
      </w:r>
      <w:r w:rsidRPr="00273653">
        <w:rPr>
          <w:rFonts w:cs="Arial"/>
          <w:b/>
        </w:rPr>
        <w:t xml:space="preserve"> </w:t>
      </w:r>
      <w:r w:rsidRPr="007B0B4F">
        <w:rPr>
          <w:rFonts w:cs="Arial"/>
        </w:rPr>
        <w:t>or</w:t>
      </w:r>
      <w:r w:rsidRPr="00273653">
        <w:rPr>
          <w:rFonts w:cs="Arial"/>
          <w:b/>
        </w:rPr>
        <w:t xml:space="preserve"> </w:t>
      </w:r>
      <w:proofErr w:type="spellStart"/>
      <w:r w:rsidRPr="00273653">
        <w:rPr>
          <w:rFonts w:cs="Arial"/>
          <w:b/>
          <w:u w:val="single"/>
        </w:rPr>
        <w:t>ss</w:t>
      </w:r>
      <w:proofErr w:type="spellEnd"/>
      <w:r w:rsidRPr="00273653">
        <w:rPr>
          <w:rFonts w:cs="Arial"/>
          <w:b/>
        </w:rPr>
        <w:t xml:space="preserve"> </w:t>
      </w:r>
      <w:r w:rsidRPr="007B0B4F">
        <w:rPr>
          <w:rFonts w:cs="Arial"/>
        </w:rPr>
        <w:t>or</w:t>
      </w:r>
      <w:r w:rsidRPr="00273653">
        <w:rPr>
          <w:rFonts w:cs="Arial"/>
          <w:b/>
        </w:rPr>
        <w:t xml:space="preserve"> </w:t>
      </w:r>
      <w:r w:rsidRPr="00273653">
        <w:rPr>
          <w:rFonts w:cs="Arial"/>
          <w:b/>
          <w:u w:val="single"/>
        </w:rPr>
        <w:t>Wisconsin Statutes</w:t>
      </w:r>
      <w:r w:rsidRPr="00273653">
        <w:rPr>
          <w:rFonts w:cs="Arial"/>
          <w:b/>
        </w:rPr>
        <w:t xml:space="preserve"> </w:t>
      </w:r>
      <w:r w:rsidRPr="007B0B4F">
        <w:rPr>
          <w:rFonts w:cs="Arial"/>
        </w:rPr>
        <w:t>or</w:t>
      </w:r>
      <w:r w:rsidRPr="00273653">
        <w:rPr>
          <w:rFonts w:cs="Arial"/>
          <w:b/>
        </w:rPr>
        <w:t xml:space="preserve"> </w:t>
      </w:r>
      <w:r w:rsidRPr="00273653">
        <w:rPr>
          <w:rFonts w:cs="Arial"/>
          <w:b/>
          <w:u w:val="single"/>
        </w:rPr>
        <w:t>Wis. Stat.</w:t>
      </w:r>
      <w:r w:rsidRPr="00273653">
        <w:rPr>
          <w:rFonts w:cs="Arial"/>
        </w:rPr>
        <w:t xml:space="preserve"> means Wisconsin State </w:t>
      </w:r>
      <w:r w:rsidR="008E1261">
        <w:rPr>
          <w:rFonts w:cs="Arial"/>
        </w:rPr>
        <w:t>S</w:t>
      </w:r>
      <w:r w:rsidR="008E1261" w:rsidRPr="00273653">
        <w:rPr>
          <w:rFonts w:cs="Arial"/>
        </w:rPr>
        <w:t xml:space="preserve">tatutes </w:t>
      </w:r>
      <w:r w:rsidR="004E0B14">
        <w:rPr>
          <w:rFonts w:cs="Arial"/>
        </w:rPr>
        <w:t xml:space="preserve">referenced in this </w:t>
      </w:r>
      <w:r w:rsidR="00330E1F">
        <w:rPr>
          <w:rFonts w:cs="Arial"/>
        </w:rPr>
        <w:t>RFP</w:t>
      </w:r>
      <w:r w:rsidRPr="00273653">
        <w:rPr>
          <w:rFonts w:cs="Arial"/>
        </w:rPr>
        <w:t>, viewable at:</w:t>
      </w:r>
      <w:r w:rsidR="00A405B6" w:rsidRPr="00273653">
        <w:rPr>
          <w:rFonts w:cs="Arial"/>
        </w:rPr>
        <w:t xml:space="preserve"> </w:t>
      </w:r>
      <w:hyperlink r:id="rId18" w:history="1">
        <w:r w:rsidR="00A405B6" w:rsidRPr="00273653">
          <w:rPr>
            <w:rStyle w:val="Hyperlink"/>
            <w:rFonts w:cs="Arial"/>
          </w:rPr>
          <w:t>http://www.legis.state.wi.us/rsb/stats.html</w:t>
        </w:r>
      </w:hyperlink>
      <w:r w:rsidRPr="00273653">
        <w:rPr>
          <w:rFonts w:cs="Arial"/>
          <w:u w:val="single"/>
        </w:rPr>
        <w:t>.</w:t>
      </w:r>
    </w:p>
    <w:p w14:paraId="106B8357" w14:textId="32C0E45A" w:rsidR="00DC7028" w:rsidRPr="00424BE0" w:rsidRDefault="00DC7028" w:rsidP="006456A2">
      <w:pPr>
        <w:pStyle w:val="LRWLBodyText"/>
        <w:rPr>
          <w:rFonts w:cs="Arial"/>
        </w:rPr>
      </w:pPr>
      <w:r w:rsidRPr="00424BE0">
        <w:rPr>
          <w:rFonts w:cs="Arial"/>
          <w:b/>
          <w:u w:val="single"/>
        </w:rPr>
        <w:t>Subcontractor</w:t>
      </w:r>
      <w:r w:rsidRPr="00424BE0">
        <w:rPr>
          <w:rFonts w:cs="Arial"/>
        </w:rPr>
        <w:t xml:space="preserve"> means a person or comp</w:t>
      </w:r>
      <w:r w:rsidRPr="00451A40">
        <w:rPr>
          <w:rFonts w:cs="Arial"/>
        </w:rPr>
        <w:t xml:space="preserve">any hired by the </w:t>
      </w:r>
      <w:r w:rsidR="00FD510B">
        <w:rPr>
          <w:rFonts w:cs="Arial"/>
        </w:rPr>
        <w:t>Contractor</w:t>
      </w:r>
      <w:r w:rsidR="00FD510B" w:rsidRPr="00451A40">
        <w:rPr>
          <w:rFonts w:cs="Arial"/>
        </w:rPr>
        <w:t xml:space="preserve"> </w:t>
      </w:r>
      <w:r w:rsidRPr="00451A40">
        <w:rPr>
          <w:rFonts w:cs="Arial"/>
        </w:rPr>
        <w:t>to perform a specific task</w:t>
      </w:r>
      <w:r w:rsidR="00451A40">
        <w:rPr>
          <w:rFonts w:cs="Arial"/>
        </w:rPr>
        <w:t xml:space="preserve"> or provide program content</w:t>
      </w:r>
      <w:r w:rsidR="004E0B14" w:rsidRPr="00451A40">
        <w:rPr>
          <w:rFonts w:cs="Arial"/>
        </w:rPr>
        <w:t xml:space="preserve"> </w:t>
      </w:r>
      <w:r w:rsidRPr="00451A40">
        <w:rPr>
          <w:rFonts w:cs="Arial"/>
        </w:rPr>
        <w:t xml:space="preserve">as part of </w:t>
      </w:r>
      <w:r w:rsidR="00FD510B">
        <w:rPr>
          <w:rFonts w:cs="Arial"/>
        </w:rPr>
        <w:t>the Contract</w:t>
      </w:r>
      <w:r w:rsidRPr="00424BE0">
        <w:rPr>
          <w:rFonts w:cs="Arial"/>
        </w:rPr>
        <w:t>.</w:t>
      </w:r>
    </w:p>
    <w:p w14:paraId="0545DC81" w14:textId="58365ADF" w:rsidR="0043039C" w:rsidRDefault="0043039C" w:rsidP="00700879">
      <w:pPr>
        <w:autoSpaceDE w:val="0"/>
        <w:autoSpaceDN w:val="0"/>
        <w:adjustRightInd w:val="0"/>
        <w:spacing w:before="0" w:after="0"/>
        <w:rPr>
          <w:rFonts w:cs="Arial"/>
          <w:b/>
          <w:u w:val="single"/>
        </w:rPr>
      </w:pPr>
      <w:r w:rsidRPr="004A2A1F">
        <w:rPr>
          <w:rFonts w:ascii="Arial" w:hAnsi="Arial" w:cs="Arial"/>
          <w:b/>
          <w:u w:val="single"/>
        </w:rPr>
        <w:t>Subscriber</w:t>
      </w:r>
      <w:r w:rsidRPr="00700879">
        <w:rPr>
          <w:rFonts w:ascii="Arial" w:hAnsi="Arial" w:cs="Arial"/>
          <w:b/>
        </w:rPr>
        <w:t xml:space="preserve"> </w:t>
      </w:r>
      <w:r w:rsidR="00A902A7">
        <w:rPr>
          <w:rFonts w:ascii="Arial" w:hAnsi="Arial" w:cs="Arial"/>
        </w:rPr>
        <w:t>means an Employee, Annuitant, or his or her surviving</w:t>
      </w:r>
      <w:r w:rsidR="0049443C">
        <w:rPr>
          <w:rFonts w:ascii="Arial" w:hAnsi="Arial" w:cs="Arial"/>
        </w:rPr>
        <w:t xml:space="preserve"> </w:t>
      </w:r>
      <w:r w:rsidR="00700879">
        <w:rPr>
          <w:rFonts w:ascii="Arial" w:hAnsi="Arial" w:cs="Arial"/>
        </w:rPr>
        <w:t>d</w:t>
      </w:r>
      <w:r w:rsidR="0049443C">
        <w:rPr>
          <w:rFonts w:ascii="Arial" w:hAnsi="Arial" w:cs="Arial"/>
        </w:rPr>
        <w:t>ependents,</w:t>
      </w:r>
      <w:r w:rsidR="00A902A7">
        <w:rPr>
          <w:rFonts w:ascii="Arial" w:hAnsi="Arial" w:cs="Arial"/>
        </w:rPr>
        <w:t xml:space="preserve"> who have been specified by ETF </w:t>
      </w:r>
      <w:r w:rsidR="00330E1F">
        <w:rPr>
          <w:rFonts w:ascii="Arial" w:hAnsi="Arial" w:cs="Arial"/>
        </w:rPr>
        <w:t>as eligible to enroll in and entitled to receive medical benefits under</w:t>
      </w:r>
      <w:r w:rsidR="00A902A7">
        <w:rPr>
          <w:rFonts w:ascii="Arial" w:hAnsi="Arial" w:cs="Arial"/>
        </w:rPr>
        <w:t xml:space="preserve"> the </w:t>
      </w:r>
      <w:r w:rsidR="0049443C">
        <w:rPr>
          <w:rFonts w:ascii="Arial" w:hAnsi="Arial" w:cs="Arial"/>
        </w:rPr>
        <w:t xml:space="preserve">health plans of the </w:t>
      </w:r>
      <w:r w:rsidR="0049443C" w:rsidRPr="004A2A1F">
        <w:rPr>
          <w:rFonts w:ascii="Arial" w:hAnsi="Arial" w:cs="Arial"/>
        </w:rPr>
        <w:t xml:space="preserve">State of Wisconsin Group Health Insurance program or </w:t>
      </w:r>
      <w:r w:rsidR="00330E1F">
        <w:rPr>
          <w:rFonts w:ascii="Arial" w:hAnsi="Arial" w:cs="Arial"/>
        </w:rPr>
        <w:t xml:space="preserve">the </w:t>
      </w:r>
      <w:r w:rsidR="0049443C" w:rsidRPr="004A2A1F">
        <w:rPr>
          <w:rFonts w:ascii="Arial" w:hAnsi="Arial" w:cs="Arial"/>
        </w:rPr>
        <w:t>Wisconsin Public Employer program</w:t>
      </w:r>
      <w:r w:rsidR="00A902A7">
        <w:rPr>
          <w:rFonts w:ascii="Arial" w:hAnsi="Arial" w:cs="Arial"/>
        </w:rPr>
        <w:t>.</w:t>
      </w:r>
    </w:p>
    <w:p w14:paraId="079A5835" w14:textId="71E8A467" w:rsidR="006456A2" w:rsidRDefault="006456A2" w:rsidP="006456A2">
      <w:pPr>
        <w:pStyle w:val="LRWLBodyText"/>
        <w:rPr>
          <w:rFonts w:cs="Arial"/>
        </w:rPr>
      </w:pPr>
      <w:r w:rsidRPr="00273653">
        <w:rPr>
          <w:rFonts w:cs="Arial"/>
          <w:b/>
          <w:u w:val="single"/>
        </w:rPr>
        <w:t>USPS</w:t>
      </w:r>
      <w:r w:rsidRPr="00273653">
        <w:rPr>
          <w:rFonts w:cs="Arial"/>
          <w:b/>
        </w:rPr>
        <w:t xml:space="preserve"> </w:t>
      </w:r>
      <w:r w:rsidRPr="00273653">
        <w:rPr>
          <w:rFonts w:cs="Arial"/>
        </w:rPr>
        <w:t xml:space="preserve">means </w:t>
      </w:r>
      <w:r w:rsidR="003860E5">
        <w:rPr>
          <w:rFonts w:cs="Arial"/>
        </w:rPr>
        <w:t xml:space="preserve">the </w:t>
      </w:r>
      <w:r w:rsidRPr="00273653">
        <w:rPr>
          <w:rFonts w:cs="Arial"/>
        </w:rPr>
        <w:t>United State</w:t>
      </w:r>
      <w:r w:rsidR="00011E0C" w:rsidRPr="00273653">
        <w:rPr>
          <w:rFonts w:cs="Arial"/>
        </w:rPr>
        <w:t>s</w:t>
      </w:r>
      <w:r w:rsidRPr="00273653">
        <w:rPr>
          <w:rFonts w:cs="Arial"/>
        </w:rPr>
        <w:t xml:space="preserve"> Postal Service.</w:t>
      </w:r>
    </w:p>
    <w:p w14:paraId="48C23C09" w14:textId="04F7F52A" w:rsidR="004E0B14" w:rsidRPr="00273653" w:rsidRDefault="004E0B14" w:rsidP="006456A2">
      <w:pPr>
        <w:pStyle w:val="LRWLBodyText"/>
        <w:rPr>
          <w:rFonts w:cs="Arial"/>
        </w:rPr>
      </w:pPr>
      <w:r w:rsidRPr="004E0B14">
        <w:rPr>
          <w:rFonts w:cs="Arial"/>
          <w:b/>
          <w:u w:val="single"/>
        </w:rPr>
        <w:t>USPSTF</w:t>
      </w:r>
      <w:r>
        <w:rPr>
          <w:rFonts w:cs="Arial"/>
        </w:rPr>
        <w:t xml:space="preserve"> means </w:t>
      </w:r>
      <w:r w:rsidR="003860E5">
        <w:rPr>
          <w:rFonts w:cs="Arial"/>
        </w:rPr>
        <w:t xml:space="preserve">the </w:t>
      </w:r>
      <w:r>
        <w:rPr>
          <w:rStyle w:val="st"/>
        </w:rPr>
        <w:t xml:space="preserve">United States Preventive </w:t>
      </w:r>
      <w:r w:rsidRPr="004E0B14">
        <w:rPr>
          <w:rStyle w:val="st"/>
        </w:rPr>
        <w:t xml:space="preserve">Services </w:t>
      </w:r>
      <w:r w:rsidRPr="004E0B14">
        <w:rPr>
          <w:rStyle w:val="Emphasis"/>
          <w:i w:val="0"/>
        </w:rPr>
        <w:t>Task</w:t>
      </w:r>
      <w:r w:rsidRPr="004E0B14">
        <w:rPr>
          <w:rStyle w:val="st"/>
          <w:i/>
        </w:rPr>
        <w:t xml:space="preserve"> </w:t>
      </w:r>
      <w:r w:rsidRPr="004E0B14">
        <w:rPr>
          <w:rStyle w:val="st"/>
        </w:rPr>
        <w:t>Force</w:t>
      </w:r>
      <w:r w:rsidR="00900153">
        <w:rPr>
          <w:rStyle w:val="st"/>
        </w:rPr>
        <w:t>.</w:t>
      </w:r>
    </w:p>
    <w:p w14:paraId="47369430" w14:textId="77777777" w:rsidR="003F497F" w:rsidRPr="00273653" w:rsidRDefault="003F497F" w:rsidP="003F497F">
      <w:pPr>
        <w:rPr>
          <w:rFonts w:ascii="Arial" w:hAnsi="Arial" w:cs="Arial"/>
        </w:rPr>
      </w:pPr>
      <w:r w:rsidRPr="00273653">
        <w:rPr>
          <w:rFonts w:ascii="Arial" w:hAnsi="Arial" w:cs="Arial"/>
          <w:b/>
          <w:u w:val="single"/>
        </w:rPr>
        <w:t>UW</w:t>
      </w:r>
      <w:r w:rsidRPr="00273653">
        <w:rPr>
          <w:rFonts w:ascii="Arial" w:hAnsi="Arial" w:cs="Arial"/>
        </w:rPr>
        <w:t xml:space="preserve"> means the University of Wisconsin </w:t>
      </w:r>
      <w:r w:rsidR="00AB0F74">
        <w:rPr>
          <w:rFonts w:ascii="Arial" w:hAnsi="Arial" w:cs="Arial"/>
        </w:rPr>
        <w:t xml:space="preserve">System </w:t>
      </w:r>
      <w:r w:rsidRPr="00273653">
        <w:rPr>
          <w:rFonts w:ascii="Arial" w:hAnsi="Arial" w:cs="Arial"/>
        </w:rPr>
        <w:t xml:space="preserve">with 13 four-year campuses and 13 </w:t>
      </w:r>
      <w:r w:rsidRPr="004E0B14">
        <w:rPr>
          <w:rFonts w:ascii="Arial" w:hAnsi="Arial" w:cs="Arial"/>
        </w:rPr>
        <w:t>two</w:t>
      </w:r>
      <w:r w:rsidRPr="00273653">
        <w:rPr>
          <w:rFonts w:ascii="Arial" w:hAnsi="Arial" w:cs="Arial"/>
        </w:rPr>
        <w:t>-year campuses with locations throughout the State.</w:t>
      </w:r>
    </w:p>
    <w:p w14:paraId="13DFD25A" w14:textId="11A3FF0E" w:rsidR="006456A2" w:rsidRPr="00273653" w:rsidRDefault="006456A2" w:rsidP="006456A2">
      <w:pPr>
        <w:pStyle w:val="LRWLBodyText"/>
        <w:rPr>
          <w:rFonts w:cs="Arial"/>
        </w:rPr>
      </w:pPr>
      <w:r w:rsidRPr="00273653">
        <w:rPr>
          <w:rFonts w:cs="Arial"/>
          <w:b/>
          <w:u w:val="single"/>
        </w:rPr>
        <w:t>Vendor</w:t>
      </w:r>
      <w:r w:rsidRPr="00273653">
        <w:rPr>
          <w:rFonts w:cs="Arial"/>
          <w:b/>
        </w:rPr>
        <w:t xml:space="preserve"> </w:t>
      </w:r>
      <w:r w:rsidRPr="00273653">
        <w:rPr>
          <w:rFonts w:cs="Arial"/>
        </w:rPr>
        <w:t>means a person or company that sells good</w:t>
      </w:r>
      <w:r w:rsidR="00F9668E" w:rsidRPr="00273653">
        <w:rPr>
          <w:rFonts w:cs="Arial"/>
        </w:rPr>
        <w:t>s</w:t>
      </w:r>
      <w:r w:rsidR="004E0B14">
        <w:rPr>
          <w:rFonts w:cs="Arial"/>
        </w:rPr>
        <w:t xml:space="preserve"> or provides services. </w:t>
      </w:r>
      <w:r w:rsidRPr="00273653">
        <w:rPr>
          <w:rFonts w:cs="Arial"/>
        </w:rPr>
        <w:t>Used interchangeably with “Proposer</w:t>
      </w:r>
      <w:r w:rsidR="003860E5">
        <w:rPr>
          <w:rFonts w:cs="Arial"/>
        </w:rPr>
        <w:t>,</w:t>
      </w:r>
      <w:r w:rsidRPr="00273653">
        <w:rPr>
          <w:rFonts w:cs="Arial"/>
        </w:rPr>
        <w:t xml:space="preserve">” </w:t>
      </w:r>
      <w:r w:rsidR="003860E5">
        <w:rPr>
          <w:rFonts w:cs="Arial"/>
        </w:rPr>
        <w:t xml:space="preserve">Vendor </w:t>
      </w:r>
      <w:r w:rsidRPr="00273653">
        <w:rPr>
          <w:rFonts w:cs="Arial"/>
        </w:rPr>
        <w:t xml:space="preserve">means a firm or individual submitting a </w:t>
      </w:r>
      <w:r w:rsidR="0029723D">
        <w:rPr>
          <w:rFonts w:cs="Arial"/>
        </w:rPr>
        <w:t>Proposal</w:t>
      </w:r>
      <w:r w:rsidRPr="00273653">
        <w:rPr>
          <w:rFonts w:cs="Arial"/>
        </w:rPr>
        <w:t xml:space="preserve"> in response to this RFP.</w:t>
      </w:r>
    </w:p>
    <w:p w14:paraId="7A8AD7EC" w14:textId="0165EB2B" w:rsidR="007D775A" w:rsidRDefault="007D775A" w:rsidP="007D775A">
      <w:pPr>
        <w:rPr>
          <w:color w:val="1F497D"/>
        </w:rPr>
      </w:pPr>
      <w:r w:rsidRPr="00700879">
        <w:rPr>
          <w:rFonts w:ascii="Arial" w:hAnsi="Arial" w:cs="Arial"/>
          <w:b/>
          <w:u w:val="single"/>
        </w:rPr>
        <w:t>W</w:t>
      </w:r>
      <w:r w:rsidR="0043039C" w:rsidRPr="00700879">
        <w:rPr>
          <w:rFonts w:ascii="Arial" w:hAnsi="Arial" w:cs="Arial"/>
          <w:b/>
          <w:u w:val="single"/>
        </w:rPr>
        <w:t>PE</w:t>
      </w:r>
      <w:r w:rsidR="0043039C" w:rsidRPr="00700879">
        <w:rPr>
          <w:rFonts w:ascii="Arial" w:hAnsi="Arial" w:cs="Arial"/>
        </w:rPr>
        <w:t xml:space="preserve"> means</w:t>
      </w:r>
      <w:r w:rsidR="004A2A1F">
        <w:rPr>
          <w:rFonts w:cs="Arial"/>
        </w:rPr>
        <w:t xml:space="preserve"> </w:t>
      </w:r>
      <w:r w:rsidR="004A2A1F" w:rsidRPr="00700879">
        <w:rPr>
          <w:rFonts w:ascii="Arial" w:hAnsi="Arial" w:cs="Arial"/>
        </w:rPr>
        <w:t>Wisconsin Public Employer</w:t>
      </w:r>
      <w:r w:rsidRPr="00700879">
        <w:rPr>
          <w:rFonts w:ascii="Arial" w:hAnsi="Arial" w:cs="Arial"/>
        </w:rPr>
        <w:t xml:space="preserve"> as defined under Wis. Stat. § 40.02 (28), other than the </w:t>
      </w:r>
      <w:r w:rsidR="005D13D4">
        <w:rPr>
          <w:rFonts w:ascii="Arial" w:hAnsi="Arial" w:cs="Arial"/>
        </w:rPr>
        <w:t>S</w:t>
      </w:r>
      <w:r w:rsidRPr="00700879">
        <w:rPr>
          <w:rFonts w:ascii="Arial" w:hAnsi="Arial" w:cs="Arial"/>
        </w:rPr>
        <w:t xml:space="preserve">tate, which has acted under Wis. Stat. § 40.51 (7), to make health care coverage available to its </w:t>
      </w:r>
      <w:r w:rsidR="007B0B4F">
        <w:rPr>
          <w:rFonts w:ascii="Arial" w:hAnsi="Arial" w:cs="Arial"/>
        </w:rPr>
        <w:t>Employees</w:t>
      </w:r>
      <w:r w:rsidRPr="00700879">
        <w:rPr>
          <w:rFonts w:ascii="Arial" w:hAnsi="Arial" w:cs="Arial"/>
        </w:rPr>
        <w:t>.</w:t>
      </w:r>
    </w:p>
    <w:p w14:paraId="0C95832A" w14:textId="77777777" w:rsidR="006456A2" w:rsidRPr="00273653" w:rsidRDefault="006456A2" w:rsidP="006456A2">
      <w:pPr>
        <w:pStyle w:val="LRWLBodyText"/>
        <w:rPr>
          <w:rFonts w:cs="Arial"/>
        </w:rPr>
      </w:pPr>
      <w:r w:rsidRPr="00273653">
        <w:rPr>
          <w:rFonts w:cs="Arial"/>
          <w:b/>
          <w:u w:val="single"/>
        </w:rPr>
        <w:t>WRS</w:t>
      </w:r>
      <w:r w:rsidRPr="00273653">
        <w:rPr>
          <w:rFonts w:cs="Arial"/>
        </w:rPr>
        <w:t xml:space="preserve"> means Wisconsin Retirement System.</w:t>
      </w:r>
    </w:p>
    <w:p w14:paraId="5ED5AC23" w14:textId="77777777" w:rsidR="006456A2" w:rsidRPr="00273653" w:rsidRDefault="006456A2" w:rsidP="006456A2">
      <w:pPr>
        <w:pStyle w:val="LRWLBodyText"/>
        <w:rPr>
          <w:rFonts w:cs="Arial"/>
        </w:rPr>
      </w:pPr>
      <w:r w:rsidRPr="00273653">
        <w:rPr>
          <w:rFonts w:cs="Arial"/>
        </w:rPr>
        <w:t xml:space="preserve">Please see ETF’s glossary at: </w:t>
      </w:r>
      <w:hyperlink r:id="rId19" w:history="1">
        <w:r w:rsidRPr="00273653">
          <w:rPr>
            <w:rStyle w:val="Hyperlink"/>
            <w:rFonts w:cs="Arial"/>
          </w:rPr>
          <w:t>http://etf.wi.gov/glossary.htm</w:t>
        </w:r>
      </w:hyperlink>
      <w:r w:rsidRPr="00273653">
        <w:rPr>
          <w:rFonts w:cs="Arial"/>
        </w:rPr>
        <w:t xml:space="preserve"> for additional definitions.</w:t>
      </w:r>
    </w:p>
    <w:p w14:paraId="4639984D" w14:textId="77777777" w:rsidR="006456A2" w:rsidRPr="00273653" w:rsidRDefault="006456A2" w:rsidP="00272CBD">
      <w:pPr>
        <w:pStyle w:val="Heading2"/>
        <w:ind w:hanging="1926"/>
      </w:pPr>
      <w:r w:rsidRPr="00273653">
        <w:lastRenderedPageBreak/>
        <w:t>Clarification of the Specifications and Requirements</w:t>
      </w:r>
    </w:p>
    <w:p w14:paraId="2A9496CB" w14:textId="746A6F00" w:rsidR="00BE3A23" w:rsidRDefault="006456A2" w:rsidP="006456A2">
      <w:pPr>
        <w:pStyle w:val="LRWLBodyText"/>
        <w:rPr>
          <w:rFonts w:cs="Arial"/>
        </w:rPr>
      </w:pPr>
      <w:r w:rsidRPr="00273653">
        <w:rPr>
          <w:rFonts w:cs="Arial"/>
        </w:rPr>
        <w:t xml:space="preserve">Proposers </w:t>
      </w:r>
      <w:r w:rsidRPr="00451A40">
        <w:rPr>
          <w:rFonts w:cs="Arial"/>
        </w:rPr>
        <w:t xml:space="preserve">must submit any questions concerning this RFP via e-mail (no phone calls) to </w:t>
      </w:r>
      <w:hyperlink r:id="rId20" w:history="1">
        <w:r w:rsidR="005D6CE4" w:rsidRPr="000C7FF2">
          <w:rPr>
            <w:rStyle w:val="Hyperlink"/>
            <w:rFonts w:cs="Arial"/>
          </w:rPr>
          <w:t>ETFSMBProcurement@etf.wi.gov</w:t>
        </w:r>
      </w:hyperlink>
      <w:r w:rsidR="000A6F08" w:rsidRPr="00451A40">
        <w:rPr>
          <w:rFonts w:cs="Arial"/>
        </w:rPr>
        <w:t>.</w:t>
      </w:r>
      <w:r w:rsidR="000A6F08">
        <w:rPr>
          <w:rFonts w:cs="Arial"/>
        </w:rPr>
        <w:t xml:space="preserve"> </w:t>
      </w:r>
      <w:r w:rsidRPr="00273653">
        <w:rPr>
          <w:rFonts w:cs="Arial"/>
        </w:rPr>
        <w:t>The subject of the e-mail must state “</w:t>
      </w:r>
      <w:r w:rsidRPr="00273653">
        <w:rPr>
          <w:rFonts w:cs="Arial"/>
          <w:b/>
          <w:u w:val="single"/>
        </w:rPr>
        <w:t>ET</w:t>
      </w:r>
      <w:r w:rsidR="004E0B14">
        <w:rPr>
          <w:rFonts w:cs="Arial"/>
          <w:b/>
          <w:u w:val="single"/>
        </w:rPr>
        <w:t>G</w:t>
      </w:r>
      <w:r w:rsidRPr="00273653">
        <w:rPr>
          <w:rFonts w:cs="Arial"/>
          <w:b/>
          <w:u w:val="single"/>
        </w:rPr>
        <w:t>00</w:t>
      </w:r>
      <w:r w:rsidR="004E0B14">
        <w:rPr>
          <w:rFonts w:cs="Arial"/>
          <w:b/>
          <w:u w:val="single"/>
        </w:rPr>
        <w:t>05</w:t>
      </w:r>
      <w:r w:rsidRPr="00273653">
        <w:rPr>
          <w:rFonts w:cs="Arial"/>
          <w:b/>
          <w:u w:val="single"/>
        </w:rPr>
        <w:t xml:space="preserve"> RFP</w:t>
      </w:r>
      <w:r w:rsidRPr="00273653">
        <w:rPr>
          <w:rFonts w:cs="Arial"/>
        </w:rPr>
        <w:t xml:space="preserve">” and the e-mail must be received on or before the date identified in Section </w:t>
      </w:r>
      <w:r w:rsidR="006A5F95">
        <w:rPr>
          <w:rFonts w:cs="Arial"/>
        </w:rPr>
        <w:t>1.</w:t>
      </w:r>
      <w:r w:rsidR="00690925">
        <w:rPr>
          <w:rFonts w:cs="Arial"/>
        </w:rPr>
        <w:t>9</w:t>
      </w:r>
      <w:r w:rsidR="0047447D">
        <w:rPr>
          <w:rFonts w:cs="Arial"/>
        </w:rPr>
        <w:t xml:space="preserve"> Calendar of Events</w:t>
      </w:r>
      <w:r w:rsidRPr="00273653">
        <w:rPr>
          <w:rFonts w:cs="Arial"/>
        </w:rPr>
        <w:t xml:space="preserve"> for “</w:t>
      </w:r>
      <w:r w:rsidR="00FD510B">
        <w:rPr>
          <w:rFonts w:cs="Arial"/>
        </w:rPr>
        <w:t>Proposer</w:t>
      </w:r>
      <w:r w:rsidRPr="00273653">
        <w:rPr>
          <w:rFonts w:cs="Arial"/>
        </w:rPr>
        <w:t xml:space="preserve"> Questions and Letter of Intent </w:t>
      </w:r>
      <w:r w:rsidR="00363EF4" w:rsidRPr="00273653">
        <w:rPr>
          <w:rFonts w:cs="Arial"/>
        </w:rPr>
        <w:t>Due</w:t>
      </w:r>
      <w:r w:rsidR="00011E0C" w:rsidRPr="00273653">
        <w:rPr>
          <w:rFonts w:cs="Arial"/>
        </w:rPr>
        <w:t>”</w:t>
      </w:r>
      <w:r w:rsidR="00363EF4" w:rsidRPr="00273653">
        <w:rPr>
          <w:rFonts w:cs="Arial"/>
        </w:rPr>
        <w:t xml:space="preserve"> date</w:t>
      </w:r>
      <w:r w:rsidR="000A6F08">
        <w:rPr>
          <w:rFonts w:cs="Arial"/>
        </w:rPr>
        <w:t xml:space="preserve">. </w:t>
      </w:r>
      <w:r w:rsidRPr="00273653">
        <w:rPr>
          <w:rFonts w:cs="Arial"/>
        </w:rPr>
        <w:t xml:space="preserve">Proposers are expected to raise any questions they have concerning </w:t>
      </w:r>
      <w:r w:rsidR="00EB45C2">
        <w:rPr>
          <w:rFonts w:cs="Arial"/>
        </w:rPr>
        <w:t>this</w:t>
      </w:r>
      <w:r w:rsidR="00EB45C2" w:rsidRPr="00273653">
        <w:rPr>
          <w:rFonts w:cs="Arial"/>
        </w:rPr>
        <w:t xml:space="preserve"> </w:t>
      </w:r>
      <w:r w:rsidRPr="00273653">
        <w:rPr>
          <w:rFonts w:cs="Arial"/>
        </w:rPr>
        <w:t>RFP at this point in the process</w:t>
      </w:r>
      <w:r w:rsidR="000A6F08">
        <w:rPr>
          <w:rFonts w:cs="Arial"/>
        </w:rPr>
        <w:t xml:space="preserve">. </w:t>
      </w:r>
    </w:p>
    <w:p w14:paraId="2169B4E7" w14:textId="77777777" w:rsidR="006456A2" w:rsidRPr="00273653" w:rsidRDefault="006456A2" w:rsidP="006456A2">
      <w:pPr>
        <w:pStyle w:val="LRWLBodyText"/>
        <w:rPr>
          <w:rFonts w:cs="Arial"/>
        </w:rPr>
      </w:pPr>
      <w:r w:rsidRPr="00273653">
        <w:rPr>
          <w:rFonts w:cs="Arial"/>
        </w:rPr>
        <w:t>Questions must be submitted as a Microsoft Word document using the format specified below:</w:t>
      </w:r>
    </w:p>
    <w:p w14:paraId="6F4DBC82" w14:textId="66200145" w:rsidR="006456A2" w:rsidRPr="00273653" w:rsidRDefault="006456A2" w:rsidP="006456A2">
      <w:pPr>
        <w:pStyle w:val="Caption"/>
        <w:rPr>
          <w:rFonts w:ascii="Arial" w:hAnsi="Arial" w:cs="Arial"/>
          <w:sz w:val="22"/>
          <w:szCs w:val="22"/>
        </w:rPr>
      </w:pPr>
      <w:r w:rsidRPr="00273653">
        <w:rPr>
          <w:rFonts w:ascii="Arial" w:hAnsi="Arial" w:cs="Arial"/>
          <w:sz w:val="22"/>
          <w:szCs w:val="22"/>
        </w:rPr>
        <w:t xml:space="preserve">Table </w:t>
      </w:r>
      <w:r w:rsidR="00564C5E">
        <w:rPr>
          <w:rFonts w:ascii="Arial" w:hAnsi="Arial" w:cs="Arial"/>
          <w:sz w:val="22"/>
          <w:szCs w:val="22"/>
        </w:rPr>
        <w:t>3</w:t>
      </w:r>
      <w:r w:rsidRPr="00273653">
        <w:rPr>
          <w:rFonts w:ascii="Arial" w:hAnsi="Arial" w:cs="Arial"/>
          <w:sz w:val="22"/>
          <w:szCs w:val="22"/>
        </w:rPr>
        <w:t xml:space="preserve"> Format for Submission of Clarification Questions</w:t>
      </w:r>
    </w:p>
    <w:tbl>
      <w:tblPr>
        <w:tblW w:w="9081" w:type="dxa"/>
        <w:tblLook w:val="04A0" w:firstRow="1" w:lastRow="0" w:firstColumn="1" w:lastColumn="0" w:noHBand="0" w:noVBand="1"/>
      </w:tblPr>
      <w:tblGrid>
        <w:gridCol w:w="612"/>
        <w:gridCol w:w="1818"/>
        <w:gridCol w:w="1350"/>
        <w:gridCol w:w="5301"/>
      </w:tblGrid>
      <w:tr w:rsidR="006456A2" w:rsidRPr="00273653" w14:paraId="4A6833D3" w14:textId="77777777" w:rsidTr="00BD488C">
        <w:tc>
          <w:tcPr>
            <w:tcW w:w="612" w:type="dxa"/>
            <w:tcBorders>
              <w:bottom w:val="single" w:sz="4" w:space="0" w:color="FFFFFF"/>
            </w:tcBorders>
            <w:shd w:val="clear" w:color="auto" w:fill="1F497D" w:themeFill="text2"/>
          </w:tcPr>
          <w:p w14:paraId="1445C915" w14:textId="77777777" w:rsidR="006456A2" w:rsidRPr="00273653" w:rsidRDefault="006456A2" w:rsidP="006456A2">
            <w:pPr>
              <w:rPr>
                <w:rFonts w:ascii="Arial" w:hAnsi="Arial" w:cs="Arial"/>
                <w:color w:val="FFFFFF" w:themeColor="background1"/>
              </w:rPr>
            </w:pPr>
            <w:r w:rsidRPr="00273653">
              <w:rPr>
                <w:rFonts w:ascii="Arial" w:hAnsi="Arial" w:cs="Arial"/>
                <w:color w:val="FFFFFF" w:themeColor="background1"/>
              </w:rPr>
              <w:t>No.</w:t>
            </w:r>
          </w:p>
        </w:tc>
        <w:tc>
          <w:tcPr>
            <w:tcW w:w="1818" w:type="dxa"/>
            <w:tcBorders>
              <w:bottom w:val="single" w:sz="4" w:space="0" w:color="FFFFFF"/>
            </w:tcBorders>
            <w:shd w:val="clear" w:color="auto" w:fill="1F497D" w:themeFill="text2"/>
          </w:tcPr>
          <w:p w14:paraId="543FD5DD" w14:textId="77777777" w:rsidR="006456A2" w:rsidRPr="00273653" w:rsidRDefault="006456A2" w:rsidP="006456A2">
            <w:pPr>
              <w:rPr>
                <w:rFonts w:ascii="Arial" w:hAnsi="Arial" w:cs="Arial"/>
                <w:color w:val="FFFFFF" w:themeColor="background1"/>
              </w:rPr>
            </w:pPr>
            <w:r w:rsidRPr="00273653">
              <w:rPr>
                <w:rFonts w:ascii="Arial" w:hAnsi="Arial" w:cs="Arial"/>
                <w:color w:val="FFFFFF" w:themeColor="background1"/>
              </w:rPr>
              <w:t>RFP Section</w:t>
            </w:r>
          </w:p>
        </w:tc>
        <w:tc>
          <w:tcPr>
            <w:tcW w:w="1350" w:type="dxa"/>
            <w:tcBorders>
              <w:bottom w:val="single" w:sz="4" w:space="0" w:color="FFFFFF"/>
            </w:tcBorders>
            <w:shd w:val="clear" w:color="auto" w:fill="1F497D" w:themeFill="text2"/>
          </w:tcPr>
          <w:p w14:paraId="2FFC51B5" w14:textId="77777777" w:rsidR="006456A2" w:rsidRPr="00273653" w:rsidRDefault="006456A2" w:rsidP="006456A2">
            <w:pPr>
              <w:rPr>
                <w:rFonts w:ascii="Arial" w:hAnsi="Arial" w:cs="Arial"/>
                <w:color w:val="FFFFFF" w:themeColor="background1"/>
              </w:rPr>
            </w:pPr>
            <w:r w:rsidRPr="00273653">
              <w:rPr>
                <w:rFonts w:ascii="Arial" w:hAnsi="Arial" w:cs="Arial"/>
                <w:color w:val="FFFFFF" w:themeColor="background1"/>
              </w:rPr>
              <w:t>RFP Page</w:t>
            </w:r>
          </w:p>
        </w:tc>
        <w:tc>
          <w:tcPr>
            <w:tcW w:w="5301" w:type="dxa"/>
            <w:tcBorders>
              <w:bottom w:val="single" w:sz="4" w:space="0" w:color="FFFFFF"/>
            </w:tcBorders>
            <w:shd w:val="clear" w:color="auto" w:fill="1F497D" w:themeFill="text2"/>
          </w:tcPr>
          <w:p w14:paraId="7DD75F19" w14:textId="77777777" w:rsidR="006456A2" w:rsidRPr="00273653" w:rsidRDefault="006456A2" w:rsidP="006456A2">
            <w:pPr>
              <w:rPr>
                <w:rFonts w:ascii="Arial" w:hAnsi="Arial" w:cs="Arial"/>
                <w:color w:val="FFFFFF" w:themeColor="background1"/>
              </w:rPr>
            </w:pPr>
            <w:r w:rsidRPr="00273653">
              <w:rPr>
                <w:rFonts w:ascii="Arial" w:hAnsi="Arial" w:cs="Arial"/>
                <w:color w:val="FFFFFF" w:themeColor="background1"/>
              </w:rPr>
              <w:t>Question</w:t>
            </w:r>
          </w:p>
        </w:tc>
      </w:tr>
      <w:tr w:rsidR="006456A2" w:rsidRPr="00273653" w14:paraId="5F590C40" w14:textId="77777777" w:rsidTr="00BD488C">
        <w:tc>
          <w:tcPr>
            <w:tcW w:w="612" w:type="dxa"/>
            <w:tcBorders>
              <w:bottom w:val="single" w:sz="4" w:space="0" w:color="FFFFFF"/>
              <w:right w:val="single" w:sz="4" w:space="0" w:color="FFFFFF"/>
            </w:tcBorders>
            <w:shd w:val="clear" w:color="auto" w:fill="C6D9F1" w:themeFill="text2" w:themeFillTint="33"/>
          </w:tcPr>
          <w:p w14:paraId="1A98F54E" w14:textId="77777777" w:rsidR="006456A2" w:rsidRPr="00273653" w:rsidRDefault="006456A2" w:rsidP="006456A2">
            <w:pPr>
              <w:jc w:val="both"/>
              <w:rPr>
                <w:rFonts w:ascii="Arial" w:hAnsi="Arial" w:cs="Arial"/>
              </w:rPr>
            </w:pPr>
            <w:r w:rsidRPr="00273653">
              <w:rPr>
                <w:rFonts w:ascii="Arial" w:hAnsi="Arial" w:cs="Arial"/>
              </w:rPr>
              <w:t>Q1</w:t>
            </w:r>
          </w:p>
        </w:tc>
        <w:tc>
          <w:tcPr>
            <w:tcW w:w="1818"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79076808" w14:textId="77777777" w:rsidR="006456A2" w:rsidRPr="00273653" w:rsidRDefault="006456A2" w:rsidP="006456A2">
            <w:pPr>
              <w:jc w:val="both"/>
              <w:rPr>
                <w:rFonts w:ascii="Arial" w:hAnsi="Arial" w:cs="Arial"/>
              </w:rPr>
            </w:pPr>
          </w:p>
        </w:tc>
        <w:tc>
          <w:tcPr>
            <w:tcW w:w="135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2C2EEBAD" w14:textId="77777777" w:rsidR="006456A2" w:rsidRPr="00273653" w:rsidRDefault="006456A2" w:rsidP="006456A2">
            <w:pPr>
              <w:jc w:val="both"/>
              <w:rPr>
                <w:rFonts w:ascii="Arial" w:hAnsi="Arial" w:cs="Arial"/>
              </w:rPr>
            </w:pPr>
          </w:p>
        </w:tc>
        <w:tc>
          <w:tcPr>
            <w:tcW w:w="5301" w:type="dxa"/>
            <w:tcBorders>
              <w:left w:val="single" w:sz="4" w:space="0" w:color="FFFFFF" w:themeColor="background1"/>
              <w:bottom w:val="single" w:sz="4" w:space="0" w:color="FFFFFF"/>
            </w:tcBorders>
            <w:shd w:val="clear" w:color="auto" w:fill="C6D9F1" w:themeFill="text2" w:themeFillTint="33"/>
          </w:tcPr>
          <w:p w14:paraId="1F140D90" w14:textId="77777777" w:rsidR="006456A2" w:rsidRPr="00273653" w:rsidRDefault="006456A2" w:rsidP="006456A2">
            <w:pPr>
              <w:jc w:val="both"/>
              <w:rPr>
                <w:rFonts w:ascii="Arial" w:hAnsi="Arial" w:cs="Arial"/>
              </w:rPr>
            </w:pPr>
          </w:p>
        </w:tc>
      </w:tr>
      <w:tr w:rsidR="006456A2" w:rsidRPr="00273653" w14:paraId="744CD87A" w14:textId="77777777" w:rsidTr="00BD488C">
        <w:tc>
          <w:tcPr>
            <w:tcW w:w="612" w:type="dxa"/>
            <w:tcBorders>
              <w:bottom w:val="single" w:sz="4" w:space="0" w:color="FFFFFF"/>
              <w:right w:val="single" w:sz="4" w:space="0" w:color="FFFFFF"/>
            </w:tcBorders>
            <w:shd w:val="clear" w:color="auto" w:fill="C6D9F1" w:themeFill="text2" w:themeFillTint="33"/>
          </w:tcPr>
          <w:p w14:paraId="7637E344" w14:textId="77777777" w:rsidR="006456A2" w:rsidRPr="00273653" w:rsidRDefault="006456A2" w:rsidP="006456A2">
            <w:pPr>
              <w:jc w:val="both"/>
              <w:rPr>
                <w:rFonts w:ascii="Arial" w:hAnsi="Arial" w:cs="Arial"/>
              </w:rPr>
            </w:pPr>
            <w:r w:rsidRPr="00273653">
              <w:rPr>
                <w:rFonts w:ascii="Arial" w:hAnsi="Arial" w:cs="Arial"/>
              </w:rPr>
              <w:t>A1</w:t>
            </w:r>
          </w:p>
        </w:tc>
        <w:tc>
          <w:tcPr>
            <w:tcW w:w="1818" w:type="dxa"/>
            <w:tcBorders>
              <w:top w:val="single" w:sz="4" w:space="0" w:color="FFFFFF"/>
              <w:left w:val="single" w:sz="4" w:space="0" w:color="FFFFFF"/>
              <w:bottom w:val="single" w:sz="4" w:space="0" w:color="FFFFFF"/>
              <w:right w:val="single" w:sz="4" w:space="0" w:color="FFFFFF" w:themeColor="background1"/>
            </w:tcBorders>
            <w:shd w:val="clear" w:color="auto" w:fill="D9D9D9" w:themeFill="background1" w:themeFillShade="D9"/>
          </w:tcPr>
          <w:p w14:paraId="591696BF" w14:textId="77777777" w:rsidR="006456A2" w:rsidRPr="00273653" w:rsidRDefault="006456A2" w:rsidP="006456A2">
            <w:pPr>
              <w:jc w:val="both"/>
              <w:rPr>
                <w:rFonts w:ascii="Arial" w:hAnsi="Arial" w:cs="Arial"/>
              </w:rPr>
            </w:pPr>
          </w:p>
        </w:tc>
        <w:tc>
          <w:tcPr>
            <w:tcW w:w="135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D9D9D9" w:themeFill="background1" w:themeFillShade="D9"/>
          </w:tcPr>
          <w:p w14:paraId="52A1FEB8" w14:textId="77777777" w:rsidR="006456A2" w:rsidRPr="00273653" w:rsidRDefault="006456A2" w:rsidP="006456A2">
            <w:pPr>
              <w:jc w:val="both"/>
              <w:rPr>
                <w:rFonts w:ascii="Arial" w:hAnsi="Arial" w:cs="Arial"/>
              </w:rPr>
            </w:pPr>
          </w:p>
        </w:tc>
        <w:tc>
          <w:tcPr>
            <w:tcW w:w="5301" w:type="dxa"/>
            <w:tcBorders>
              <w:left w:val="single" w:sz="4" w:space="0" w:color="FFFFFF" w:themeColor="background1"/>
              <w:bottom w:val="single" w:sz="4" w:space="0" w:color="FFFFFF"/>
            </w:tcBorders>
            <w:shd w:val="clear" w:color="auto" w:fill="D9D9D9" w:themeFill="background1" w:themeFillShade="D9"/>
          </w:tcPr>
          <w:p w14:paraId="2BB5B0D0" w14:textId="77777777" w:rsidR="006456A2" w:rsidRPr="00273653" w:rsidRDefault="006456A2" w:rsidP="006456A2">
            <w:pPr>
              <w:jc w:val="both"/>
              <w:rPr>
                <w:rFonts w:ascii="Arial" w:hAnsi="Arial" w:cs="Arial"/>
              </w:rPr>
            </w:pPr>
          </w:p>
        </w:tc>
      </w:tr>
      <w:tr w:rsidR="006456A2" w:rsidRPr="00273653" w14:paraId="55A3E779" w14:textId="77777777" w:rsidTr="00BD488C">
        <w:tc>
          <w:tcPr>
            <w:tcW w:w="612" w:type="dxa"/>
            <w:tcBorders>
              <w:bottom w:val="single" w:sz="4" w:space="0" w:color="FFFFFF"/>
              <w:right w:val="single" w:sz="4" w:space="0" w:color="FFFFFF"/>
            </w:tcBorders>
            <w:shd w:val="clear" w:color="auto" w:fill="C6D9F1" w:themeFill="text2" w:themeFillTint="33"/>
          </w:tcPr>
          <w:p w14:paraId="4319B402" w14:textId="77777777" w:rsidR="006456A2" w:rsidRPr="00273653" w:rsidRDefault="006456A2" w:rsidP="006456A2">
            <w:pPr>
              <w:jc w:val="both"/>
              <w:rPr>
                <w:rFonts w:ascii="Arial" w:hAnsi="Arial" w:cs="Arial"/>
              </w:rPr>
            </w:pPr>
            <w:r w:rsidRPr="00273653">
              <w:rPr>
                <w:rFonts w:ascii="Arial" w:hAnsi="Arial" w:cs="Arial"/>
              </w:rPr>
              <w:t>Q2</w:t>
            </w:r>
          </w:p>
        </w:tc>
        <w:tc>
          <w:tcPr>
            <w:tcW w:w="1818"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4C1B9BF3" w14:textId="77777777" w:rsidR="006456A2" w:rsidRPr="00273653" w:rsidRDefault="006456A2" w:rsidP="006456A2">
            <w:pPr>
              <w:jc w:val="both"/>
              <w:rPr>
                <w:rFonts w:ascii="Arial" w:hAnsi="Arial" w:cs="Arial"/>
              </w:rPr>
            </w:pPr>
          </w:p>
        </w:tc>
        <w:tc>
          <w:tcPr>
            <w:tcW w:w="135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5A3A9058" w14:textId="77777777" w:rsidR="006456A2" w:rsidRPr="00273653" w:rsidRDefault="006456A2" w:rsidP="006456A2">
            <w:pPr>
              <w:jc w:val="both"/>
              <w:rPr>
                <w:rFonts w:ascii="Arial" w:hAnsi="Arial" w:cs="Arial"/>
              </w:rPr>
            </w:pPr>
          </w:p>
        </w:tc>
        <w:tc>
          <w:tcPr>
            <w:tcW w:w="5301" w:type="dxa"/>
            <w:tcBorders>
              <w:left w:val="single" w:sz="4" w:space="0" w:color="FFFFFF" w:themeColor="background1"/>
              <w:bottom w:val="single" w:sz="4" w:space="0" w:color="FFFFFF"/>
            </w:tcBorders>
            <w:shd w:val="clear" w:color="auto" w:fill="C6D9F1" w:themeFill="text2" w:themeFillTint="33"/>
          </w:tcPr>
          <w:p w14:paraId="13C05C5C" w14:textId="77777777" w:rsidR="006456A2" w:rsidRPr="00273653" w:rsidRDefault="006456A2" w:rsidP="006456A2">
            <w:pPr>
              <w:jc w:val="both"/>
              <w:rPr>
                <w:rFonts w:ascii="Arial" w:hAnsi="Arial" w:cs="Arial"/>
              </w:rPr>
            </w:pPr>
          </w:p>
        </w:tc>
      </w:tr>
      <w:tr w:rsidR="006456A2" w:rsidRPr="00273653" w14:paraId="57E082B6" w14:textId="77777777" w:rsidTr="00BD488C">
        <w:tc>
          <w:tcPr>
            <w:tcW w:w="612" w:type="dxa"/>
            <w:tcBorders>
              <w:right w:val="single" w:sz="4" w:space="0" w:color="FFFFFF"/>
            </w:tcBorders>
            <w:shd w:val="clear" w:color="auto" w:fill="C6D9F1" w:themeFill="text2" w:themeFillTint="33"/>
          </w:tcPr>
          <w:p w14:paraId="0BF3F3B0" w14:textId="77777777" w:rsidR="006456A2" w:rsidRPr="00273653" w:rsidRDefault="006456A2" w:rsidP="006456A2">
            <w:pPr>
              <w:jc w:val="both"/>
              <w:rPr>
                <w:rFonts w:ascii="Arial" w:hAnsi="Arial" w:cs="Arial"/>
              </w:rPr>
            </w:pPr>
            <w:r w:rsidRPr="00273653">
              <w:rPr>
                <w:rFonts w:ascii="Arial" w:hAnsi="Arial" w:cs="Arial"/>
              </w:rPr>
              <w:t>A2</w:t>
            </w:r>
          </w:p>
        </w:tc>
        <w:tc>
          <w:tcPr>
            <w:tcW w:w="1818" w:type="dxa"/>
            <w:tcBorders>
              <w:top w:val="single" w:sz="4" w:space="0" w:color="FFFFFF"/>
              <w:left w:val="single" w:sz="4" w:space="0" w:color="FFFFFF"/>
              <w:right w:val="single" w:sz="4" w:space="0" w:color="FFFFFF" w:themeColor="background1"/>
            </w:tcBorders>
            <w:shd w:val="clear" w:color="auto" w:fill="D9D9D9" w:themeFill="background1" w:themeFillShade="D9"/>
          </w:tcPr>
          <w:p w14:paraId="28D85B8A" w14:textId="77777777" w:rsidR="006456A2" w:rsidRPr="00273653" w:rsidRDefault="006456A2" w:rsidP="006456A2">
            <w:pPr>
              <w:jc w:val="both"/>
              <w:rPr>
                <w:rFonts w:ascii="Arial" w:hAnsi="Arial" w:cs="Arial"/>
              </w:rPr>
            </w:pPr>
          </w:p>
        </w:tc>
        <w:tc>
          <w:tcPr>
            <w:tcW w:w="1350" w:type="dxa"/>
            <w:tcBorders>
              <w:top w:val="single" w:sz="4" w:space="0" w:color="FFFFFF"/>
              <w:left w:val="single" w:sz="4" w:space="0" w:color="FFFFFF" w:themeColor="background1"/>
              <w:right w:val="single" w:sz="4" w:space="0" w:color="FFFFFF" w:themeColor="background1"/>
            </w:tcBorders>
            <w:shd w:val="clear" w:color="auto" w:fill="D9D9D9" w:themeFill="background1" w:themeFillShade="D9"/>
          </w:tcPr>
          <w:p w14:paraId="0F3C843E" w14:textId="77777777" w:rsidR="006456A2" w:rsidRPr="00273653" w:rsidRDefault="006456A2" w:rsidP="006456A2">
            <w:pPr>
              <w:jc w:val="both"/>
              <w:rPr>
                <w:rFonts w:ascii="Arial" w:hAnsi="Arial" w:cs="Arial"/>
              </w:rPr>
            </w:pPr>
          </w:p>
        </w:tc>
        <w:tc>
          <w:tcPr>
            <w:tcW w:w="5301" w:type="dxa"/>
            <w:tcBorders>
              <w:left w:val="single" w:sz="4" w:space="0" w:color="FFFFFF" w:themeColor="background1"/>
            </w:tcBorders>
            <w:shd w:val="clear" w:color="auto" w:fill="D9D9D9" w:themeFill="background1" w:themeFillShade="D9"/>
          </w:tcPr>
          <w:p w14:paraId="1FAA0076" w14:textId="77777777" w:rsidR="006456A2" w:rsidRPr="00273653" w:rsidRDefault="006456A2" w:rsidP="006456A2">
            <w:pPr>
              <w:jc w:val="both"/>
              <w:rPr>
                <w:rFonts w:ascii="Arial" w:hAnsi="Arial" w:cs="Arial"/>
              </w:rPr>
            </w:pPr>
          </w:p>
        </w:tc>
      </w:tr>
    </w:tbl>
    <w:p w14:paraId="5B0363C5" w14:textId="3AA1A2A4" w:rsidR="006456A2" w:rsidRPr="00451A40" w:rsidRDefault="000100A8" w:rsidP="006456A2">
      <w:pPr>
        <w:pStyle w:val="LRWLBodyText"/>
        <w:rPr>
          <w:rFonts w:cs="Arial"/>
        </w:rPr>
      </w:pPr>
      <w:r>
        <w:rPr>
          <w:rFonts w:cs="Arial"/>
        </w:rPr>
        <w:t xml:space="preserve">Proposer’s e-email </w:t>
      </w:r>
      <w:r w:rsidR="006456A2" w:rsidRPr="00273653">
        <w:rPr>
          <w:rFonts w:cs="Arial"/>
        </w:rPr>
        <w:t xml:space="preserve">must include the name of the Proposer’s company and the person submitting the question(s). </w:t>
      </w:r>
      <w:r w:rsidR="006456A2" w:rsidRPr="00451A40">
        <w:rPr>
          <w:rFonts w:cs="Arial"/>
        </w:rPr>
        <w:t xml:space="preserve">A compilation of all questions and answers, along with any RFP updates, will be posted to the </w:t>
      </w:r>
      <w:r w:rsidR="006456A2" w:rsidRPr="00A000BF">
        <w:rPr>
          <w:rFonts w:cs="Arial"/>
          <w:b/>
        </w:rPr>
        <w:t>ETF Extranet</w:t>
      </w:r>
      <w:r w:rsidR="006456A2" w:rsidRPr="00451A40">
        <w:rPr>
          <w:rFonts w:cs="Arial"/>
        </w:rPr>
        <w:t xml:space="preserve"> (</w:t>
      </w:r>
      <w:hyperlink r:id="rId21" w:history="1">
        <w:r w:rsidR="005D6CE4" w:rsidRPr="000C7FF2">
          <w:rPr>
            <w:rStyle w:val="Hyperlink"/>
          </w:rPr>
          <w:t>https://etfonline.wi.gov/etf/internet/RFP/rfp.html</w:t>
        </w:r>
      </w:hyperlink>
      <w:r w:rsidR="005D6CE4">
        <w:t>)</w:t>
      </w:r>
      <w:r w:rsidR="00EB0CA3" w:rsidRPr="00451A40" w:rsidDel="00EB0CA3">
        <w:rPr>
          <w:rFonts w:cs="Arial"/>
        </w:rPr>
        <w:t xml:space="preserve"> </w:t>
      </w:r>
      <w:r w:rsidR="006456A2" w:rsidRPr="00451A40">
        <w:rPr>
          <w:rFonts w:cs="Arial"/>
        </w:rPr>
        <w:t xml:space="preserve">no later than the date indicated in Section </w:t>
      </w:r>
      <w:r w:rsidR="006A5F95">
        <w:rPr>
          <w:rFonts w:cs="Arial"/>
        </w:rPr>
        <w:t>1.</w:t>
      </w:r>
      <w:r w:rsidR="00690925">
        <w:rPr>
          <w:rFonts w:cs="Arial"/>
        </w:rPr>
        <w:t>9</w:t>
      </w:r>
      <w:r w:rsidR="006456A2" w:rsidRPr="00451A40">
        <w:rPr>
          <w:rFonts w:cs="Arial"/>
        </w:rPr>
        <w:t>.</w:t>
      </w:r>
    </w:p>
    <w:p w14:paraId="2C176CBC" w14:textId="4E5530C0" w:rsidR="006456A2" w:rsidRPr="00451A40" w:rsidRDefault="006456A2" w:rsidP="006456A2">
      <w:pPr>
        <w:pStyle w:val="LRWLBodyText"/>
        <w:rPr>
          <w:rFonts w:cs="Arial"/>
        </w:rPr>
      </w:pPr>
      <w:r w:rsidRPr="00451A40">
        <w:rPr>
          <w:rFonts w:cs="Arial"/>
        </w:rPr>
        <w:t>If a Proposer discovers any significant ambiguity, error, conflict, discrepancy, omission, or other deficiency in this RFP, the Proposer should immediately notify the individual identified in Section 1.</w:t>
      </w:r>
      <w:r w:rsidR="00690925">
        <w:rPr>
          <w:rFonts w:cs="Arial"/>
        </w:rPr>
        <w:t>4</w:t>
      </w:r>
      <w:r w:rsidRPr="00451A40">
        <w:rPr>
          <w:rFonts w:cs="Arial"/>
        </w:rPr>
        <w:t xml:space="preserve"> of such error and request modification or clarification of this RFP document.</w:t>
      </w:r>
    </w:p>
    <w:p w14:paraId="19B33EEB" w14:textId="2D7F20F9" w:rsidR="006456A2" w:rsidRPr="00273653" w:rsidRDefault="006456A2" w:rsidP="006456A2">
      <w:pPr>
        <w:pStyle w:val="LRWLBodyText"/>
        <w:rPr>
          <w:rFonts w:cs="Arial"/>
        </w:rPr>
      </w:pPr>
      <w:r w:rsidRPr="00451A40">
        <w:rPr>
          <w:rFonts w:cs="Arial"/>
        </w:rPr>
        <w:t xml:space="preserve">If it becomes necessary to update any part of this RFP, updates will be published on </w:t>
      </w:r>
      <w:r w:rsidRPr="0047447D">
        <w:rPr>
          <w:rFonts w:cs="Arial"/>
        </w:rPr>
        <w:t>ETF’s Extranet</w:t>
      </w:r>
      <w:r w:rsidRPr="00451A40">
        <w:rPr>
          <w:rFonts w:cs="Arial"/>
        </w:rPr>
        <w:t xml:space="preserve"> </w:t>
      </w:r>
      <w:r w:rsidR="00356CA1">
        <w:rPr>
          <w:rFonts w:cs="Arial"/>
        </w:rPr>
        <w:t>list</w:t>
      </w:r>
      <w:r w:rsidR="00066205">
        <w:rPr>
          <w:rFonts w:cs="Arial"/>
        </w:rPr>
        <w:t>ed</w:t>
      </w:r>
      <w:r w:rsidR="00356CA1">
        <w:rPr>
          <w:rFonts w:cs="Arial"/>
        </w:rPr>
        <w:t xml:space="preserve"> above</w:t>
      </w:r>
      <w:r w:rsidRPr="00451A40">
        <w:rPr>
          <w:rFonts w:cs="Arial"/>
        </w:rPr>
        <w:t xml:space="preserve">, which is part of </w:t>
      </w:r>
      <w:r w:rsidRPr="0047447D">
        <w:rPr>
          <w:rFonts w:cs="Arial"/>
        </w:rPr>
        <w:t>ETF’s w</w:t>
      </w:r>
      <w:r w:rsidRPr="00451A40">
        <w:rPr>
          <w:rFonts w:cs="Arial"/>
        </w:rPr>
        <w:t>ebsite, and will not be mailed. Electronic versions of th</w:t>
      </w:r>
      <w:r w:rsidR="00EB45C2">
        <w:rPr>
          <w:rFonts w:cs="Arial"/>
        </w:rPr>
        <w:t>is</w:t>
      </w:r>
      <w:r w:rsidRPr="00451A40">
        <w:rPr>
          <w:rFonts w:cs="Arial"/>
        </w:rPr>
        <w:t xml:space="preserve"> RFP and all appendices and exhibits are available on ETF’s Extranet.</w:t>
      </w:r>
    </w:p>
    <w:p w14:paraId="0C816FF3" w14:textId="61A3DB80" w:rsidR="006456A2" w:rsidRPr="00273653" w:rsidRDefault="00FD510B" w:rsidP="00644C74">
      <w:pPr>
        <w:pStyle w:val="Heading2"/>
        <w:ind w:left="720" w:hanging="720"/>
      </w:pPr>
      <w:r>
        <w:t>Proposer</w:t>
      </w:r>
      <w:r w:rsidR="006456A2" w:rsidRPr="00273653">
        <w:t xml:space="preserve"> Conference</w:t>
      </w:r>
    </w:p>
    <w:p w14:paraId="5CB0880E" w14:textId="685FD9D1" w:rsidR="00316DB9" w:rsidRPr="00273653" w:rsidRDefault="00316DB9" w:rsidP="00316DB9">
      <w:pPr>
        <w:pStyle w:val="LRWLBodyText"/>
        <w:rPr>
          <w:rFonts w:cs="Arial"/>
        </w:rPr>
      </w:pPr>
      <w:r w:rsidRPr="00273653">
        <w:rPr>
          <w:rFonts w:cs="Arial"/>
        </w:rPr>
        <w:t xml:space="preserve">There is no scheduled </w:t>
      </w:r>
      <w:r w:rsidR="00FD510B">
        <w:rPr>
          <w:rFonts w:cs="Arial"/>
        </w:rPr>
        <w:t>Proposer</w:t>
      </w:r>
      <w:r w:rsidRPr="00273653">
        <w:rPr>
          <w:rFonts w:cs="Arial"/>
        </w:rPr>
        <w:t xml:space="preserve"> conference. A </w:t>
      </w:r>
      <w:r w:rsidR="00FD510B">
        <w:rPr>
          <w:rFonts w:cs="Arial"/>
        </w:rPr>
        <w:t>Proposer</w:t>
      </w:r>
      <w:r w:rsidRPr="00273653">
        <w:rPr>
          <w:rFonts w:cs="Arial"/>
        </w:rPr>
        <w:t xml:space="preserve"> conference is an opportunity </w:t>
      </w:r>
      <w:r w:rsidR="007B0B4F">
        <w:rPr>
          <w:rFonts w:cs="Arial"/>
        </w:rPr>
        <w:t xml:space="preserve">for Proposers </w:t>
      </w:r>
      <w:r w:rsidRPr="00273653">
        <w:rPr>
          <w:rFonts w:cs="Arial"/>
        </w:rPr>
        <w:t xml:space="preserve">to ask questions. If ETF decides to hold </w:t>
      </w:r>
      <w:r w:rsidR="00FB5E70">
        <w:rPr>
          <w:rFonts w:cs="Arial"/>
        </w:rPr>
        <w:t xml:space="preserve">the </w:t>
      </w:r>
      <w:r w:rsidR="00FD510B">
        <w:rPr>
          <w:rFonts w:cs="Arial"/>
        </w:rPr>
        <w:t>Proposer</w:t>
      </w:r>
      <w:r w:rsidRPr="00451A40">
        <w:rPr>
          <w:rFonts w:cs="Arial"/>
        </w:rPr>
        <w:t xml:space="preserve"> conference, a notice will be posted on </w:t>
      </w:r>
      <w:r w:rsidR="004A6EB7" w:rsidRPr="00451A40">
        <w:rPr>
          <w:rFonts w:cs="Arial"/>
        </w:rPr>
        <w:t xml:space="preserve">ETFs Extranet </w:t>
      </w:r>
      <w:r w:rsidR="00C54627" w:rsidRPr="00451A40">
        <w:rPr>
          <w:rFonts w:cs="Arial"/>
        </w:rPr>
        <w:t xml:space="preserve">at </w:t>
      </w:r>
      <w:hyperlink r:id="rId22" w:history="1">
        <w:r w:rsidR="00C54627" w:rsidRPr="00451A40">
          <w:rPr>
            <w:rStyle w:val="Hyperlink"/>
            <w:rFonts w:cs="Arial"/>
          </w:rPr>
          <w:t>http://etfextranet.it.state.wi.us/etf/internet/RFP/rfp.html</w:t>
        </w:r>
      </w:hyperlink>
      <w:r w:rsidR="004A6EB7" w:rsidRPr="00451A40">
        <w:rPr>
          <w:rFonts w:cs="Arial"/>
        </w:rPr>
        <w:t>.</w:t>
      </w:r>
      <w:r w:rsidR="008E1261">
        <w:rPr>
          <w:rFonts w:cs="Arial"/>
        </w:rPr>
        <w:t xml:space="preserve"> </w:t>
      </w:r>
      <w:r w:rsidRPr="00273653">
        <w:rPr>
          <w:rFonts w:cs="Arial"/>
        </w:rPr>
        <w:t>Note, unless this notice is posted, no conference will be held.</w:t>
      </w:r>
    </w:p>
    <w:p w14:paraId="7B606590" w14:textId="77777777" w:rsidR="006456A2" w:rsidRPr="00273653" w:rsidRDefault="006456A2" w:rsidP="00644C74">
      <w:pPr>
        <w:pStyle w:val="Heading2"/>
        <w:ind w:left="720" w:hanging="720"/>
      </w:pPr>
      <w:r w:rsidRPr="00C94564">
        <w:t>Reasonable</w:t>
      </w:r>
      <w:r w:rsidRPr="00273653">
        <w:t xml:space="preserve"> Accommodations</w:t>
      </w:r>
    </w:p>
    <w:p w14:paraId="3C253568" w14:textId="6EA96F38" w:rsidR="006456A2" w:rsidRPr="00273653" w:rsidRDefault="006456A2" w:rsidP="006456A2">
      <w:pPr>
        <w:pStyle w:val="LRWLBodyText"/>
        <w:rPr>
          <w:rFonts w:cs="Arial"/>
        </w:rPr>
      </w:pPr>
      <w:r w:rsidRPr="00B56EE6">
        <w:rPr>
          <w:rFonts w:cs="Arial"/>
        </w:rPr>
        <w:t>ETF will provide</w:t>
      </w:r>
      <w:r w:rsidRPr="00273653">
        <w:rPr>
          <w:rFonts w:cs="Arial"/>
        </w:rPr>
        <w:t xml:space="preserve"> reasonable accommodations, including the provision of informational material in an alternative format, for qualified individuals with disabilities</w:t>
      </w:r>
      <w:r w:rsidR="008E1261">
        <w:rPr>
          <w:rFonts w:cs="Arial"/>
        </w:rPr>
        <w:t>,</w:t>
      </w:r>
      <w:r w:rsidRPr="00273653">
        <w:rPr>
          <w:rFonts w:cs="Arial"/>
        </w:rPr>
        <w:t xml:space="preserve"> upon request</w:t>
      </w:r>
      <w:r w:rsidR="000A6F08">
        <w:rPr>
          <w:rFonts w:cs="Arial"/>
        </w:rPr>
        <w:t xml:space="preserve">. </w:t>
      </w:r>
    </w:p>
    <w:p w14:paraId="7A7EA66D" w14:textId="77777777" w:rsidR="006456A2" w:rsidRPr="00273653" w:rsidRDefault="006456A2" w:rsidP="00644C74">
      <w:pPr>
        <w:pStyle w:val="Heading2"/>
        <w:ind w:left="720" w:hanging="720"/>
      </w:pPr>
      <w:r w:rsidRPr="00273653">
        <w:lastRenderedPageBreak/>
        <w:t xml:space="preserve">Calendar of </w:t>
      </w:r>
      <w:r w:rsidRPr="00C94564">
        <w:t>Events</w:t>
      </w:r>
    </w:p>
    <w:p w14:paraId="67C3A705" w14:textId="49760B0E" w:rsidR="006456A2" w:rsidRPr="00273653" w:rsidRDefault="006456A2" w:rsidP="006456A2">
      <w:pPr>
        <w:pStyle w:val="LRWLBodyText"/>
        <w:contextualSpacing/>
        <w:rPr>
          <w:rFonts w:cs="Arial"/>
        </w:rPr>
      </w:pPr>
      <w:r w:rsidRPr="00273653">
        <w:rPr>
          <w:rFonts w:cs="Arial"/>
        </w:rPr>
        <w:t xml:space="preserve">Listed below are the important dates by which actions related to this RFP must be completed. If the Department finds it necessary to change any of the specific dates and times </w:t>
      </w:r>
      <w:r w:rsidRPr="00451A40">
        <w:rPr>
          <w:rFonts w:cs="Arial"/>
        </w:rPr>
        <w:t xml:space="preserve">in the </w:t>
      </w:r>
      <w:r w:rsidR="007B6D17" w:rsidRPr="00451A40">
        <w:rPr>
          <w:rFonts w:cs="Arial"/>
        </w:rPr>
        <w:t>C</w:t>
      </w:r>
      <w:r w:rsidRPr="00451A40">
        <w:rPr>
          <w:rFonts w:cs="Arial"/>
        </w:rPr>
        <w:t xml:space="preserve">alendar of </w:t>
      </w:r>
      <w:r w:rsidR="007B6D17" w:rsidRPr="00451A40">
        <w:rPr>
          <w:rFonts w:cs="Arial"/>
        </w:rPr>
        <w:t>E</w:t>
      </w:r>
      <w:r w:rsidRPr="00451A40">
        <w:rPr>
          <w:rFonts w:cs="Arial"/>
        </w:rPr>
        <w:t>vents listed below, it will do so by issuing a supplement to this RFP via the ETF Extranet listed in Section 1.</w:t>
      </w:r>
      <w:r w:rsidR="00690925">
        <w:rPr>
          <w:rFonts w:cs="Arial"/>
        </w:rPr>
        <w:t>6</w:t>
      </w:r>
      <w:r w:rsidR="000A6F08" w:rsidRPr="00451A40">
        <w:rPr>
          <w:rFonts w:cs="Arial"/>
        </w:rPr>
        <w:t xml:space="preserve">. </w:t>
      </w:r>
      <w:r w:rsidRPr="00451A40">
        <w:rPr>
          <w:rFonts w:cs="Arial"/>
        </w:rPr>
        <w:t>No other formal notification will be issued for changes in the estimated</w:t>
      </w:r>
      <w:r w:rsidRPr="00273653">
        <w:rPr>
          <w:rFonts w:cs="Arial"/>
        </w:rPr>
        <w:t xml:space="preserve"> dates. </w:t>
      </w:r>
    </w:p>
    <w:p w14:paraId="57EB5BBB" w14:textId="2B0A7775" w:rsidR="006456A2" w:rsidRPr="00273653" w:rsidRDefault="006456A2" w:rsidP="006456A2">
      <w:pPr>
        <w:pStyle w:val="Caption"/>
        <w:rPr>
          <w:rFonts w:ascii="Arial" w:hAnsi="Arial" w:cs="Arial"/>
          <w:sz w:val="22"/>
          <w:szCs w:val="22"/>
        </w:rPr>
      </w:pPr>
      <w:r w:rsidRPr="00273653">
        <w:rPr>
          <w:rFonts w:ascii="Arial" w:hAnsi="Arial" w:cs="Arial"/>
          <w:sz w:val="22"/>
          <w:szCs w:val="22"/>
        </w:rPr>
        <w:t xml:space="preserve">Table </w:t>
      </w:r>
      <w:r w:rsidR="00564C5E">
        <w:rPr>
          <w:rFonts w:ascii="Arial" w:hAnsi="Arial" w:cs="Arial"/>
          <w:sz w:val="22"/>
          <w:szCs w:val="22"/>
        </w:rPr>
        <w:t>4</w:t>
      </w:r>
      <w:r w:rsidRPr="00273653">
        <w:rPr>
          <w:rFonts w:ascii="Arial" w:hAnsi="Arial" w:cs="Arial"/>
          <w:sz w:val="22"/>
          <w:szCs w:val="22"/>
        </w:rPr>
        <w:t xml:space="preserve"> Calendar of Events</w:t>
      </w:r>
      <w:r w:rsidR="007B0B4F">
        <w:rPr>
          <w:rFonts w:ascii="Arial" w:hAnsi="Arial" w:cs="Arial"/>
          <w:sz w:val="22"/>
          <w:szCs w:val="22"/>
        </w:rPr>
        <w:t xml:space="preserve"> *</w:t>
      </w:r>
    </w:p>
    <w:tbl>
      <w:tblPr>
        <w:tblW w:w="95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55"/>
        <w:gridCol w:w="6449"/>
      </w:tblGrid>
      <w:tr w:rsidR="006456A2" w:rsidRPr="00273653" w14:paraId="49B15168" w14:textId="77777777" w:rsidTr="005D13D4">
        <w:tc>
          <w:tcPr>
            <w:tcW w:w="3055" w:type="dxa"/>
            <w:shd w:val="clear" w:color="auto" w:fill="1F497D" w:themeFill="text2"/>
          </w:tcPr>
          <w:p w14:paraId="7B2B0ADE" w14:textId="77777777" w:rsidR="006456A2" w:rsidRPr="00273653" w:rsidRDefault="006456A2" w:rsidP="006456A2">
            <w:pPr>
              <w:rPr>
                <w:rFonts w:ascii="Arial" w:hAnsi="Arial" w:cs="Arial"/>
                <w:color w:val="FFFFFF" w:themeColor="background1"/>
              </w:rPr>
            </w:pPr>
            <w:r w:rsidRPr="00273653">
              <w:rPr>
                <w:rFonts w:ascii="Arial" w:hAnsi="Arial" w:cs="Arial"/>
                <w:color w:val="FFFFFF" w:themeColor="background1"/>
              </w:rPr>
              <w:t>Date</w:t>
            </w:r>
          </w:p>
        </w:tc>
        <w:tc>
          <w:tcPr>
            <w:tcW w:w="6449" w:type="dxa"/>
            <w:shd w:val="clear" w:color="auto" w:fill="1F497D" w:themeFill="text2"/>
          </w:tcPr>
          <w:p w14:paraId="3D4CE31B" w14:textId="77777777" w:rsidR="006456A2" w:rsidRPr="00273653" w:rsidRDefault="006456A2" w:rsidP="006456A2">
            <w:pPr>
              <w:rPr>
                <w:rFonts w:ascii="Arial" w:hAnsi="Arial" w:cs="Arial"/>
                <w:color w:val="FFFFFF" w:themeColor="background1"/>
              </w:rPr>
            </w:pPr>
            <w:r w:rsidRPr="00273653">
              <w:rPr>
                <w:rFonts w:ascii="Arial" w:hAnsi="Arial" w:cs="Arial"/>
                <w:color w:val="FFFFFF" w:themeColor="background1"/>
              </w:rPr>
              <w:t>Event</w:t>
            </w:r>
          </w:p>
        </w:tc>
      </w:tr>
      <w:tr w:rsidR="006456A2" w:rsidRPr="00273653" w14:paraId="0D20BC6E" w14:textId="77777777" w:rsidTr="005D13D4">
        <w:tc>
          <w:tcPr>
            <w:tcW w:w="3055" w:type="dxa"/>
            <w:shd w:val="clear" w:color="auto" w:fill="C6D9F1" w:themeFill="text2" w:themeFillTint="33"/>
          </w:tcPr>
          <w:p w14:paraId="328CF160" w14:textId="2715114A" w:rsidR="00FF5CD9" w:rsidRPr="004D1B1A" w:rsidRDefault="00A71F5A" w:rsidP="00A71F5A">
            <w:pPr>
              <w:jc w:val="both"/>
              <w:rPr>
                <w:rFonts w:ascii="Arial" w:hAnsi="Arial" w:cs="Arial"/>
              </w:rPr>
            </w:pPr>
            <w:r>
              <w:rPr>
                <w:rFonts w:ascii="Arial" w:hAnsi="Arial" w:cs="Arial"/>
              </w:rPr>
              <w:t>Monday</w:t>
            </w:r>
            <w:r w:rsidR="0021762E">
              <w:rPr>
                <w:rFonts w:ascii="Arial" w:hAnsi="Arial" w:cs="Arial"/>
              </w:rPr>
              <w:t xml:space="preserve">, April </w:t>
            </w:r>
            <w:r>
              <w:rPr>
                <w:rFonts w:ascii="Arial" w:hAnsi="Arial" w:cs="Arial"/>
              </w:rPr>
              <w:t>25</w:t>
            </w:r>
            <w:r w:rsidR="0021762E">
              <w:rPr>
                <w:rFonts w:ascii="Arial" w:hAnsi="Arial" w:cs="Arial"/>
              </w:rPr>
              <w:t>, 2016</w:t>
            </w:r>
          </w:p>
        </w:tc>
        <w:tc>
          <w:tcPr>
            <w:tcW w:w="6449" w:type="dxa"/>
            <w:shd w:val="clear" w:color="auto" w:fill="C6D9F1" w:themeFill="text2" w:themeFillTint="33"/>
          </w:tcPr>
          <w:p w14:paraId="6414CD9C" w14:textId="77777777" w:rsidR="006456A2" w:rsidRPr="00273653" w:rsidRDefault="006456A2" w:rsidP="006456A2">
            <w:pPr>
              <w:jc w:val="both"/>
              <w:rPr>
                <w:rFonts w:ascii="Arial" w:hAnsi="Arial" w:cs="Arial"/>
              </w:rPr>
            </w:pPr>
            <w:r w:rsidRPr="00B56EE6">
              <w:rPr>
                <w:rFonts w:ascii="Arial" w:hAnsi="Arial" w:cs="Arial"/>
              </w:rPr>
              <w:t>ETF Issues</w:t>
            </w:r>
            <w:r w:rsidRPr="00273653">
              <w:rPr>
                <w:rFonts w:ascii="Arial" w:hAnsi="Arial" w:cs="Arial"/>
              </w:rPr>
              <w:t xml:space="preserve"> RFP</w:t>
            </w:r>
          </w:p>
        </w:tc>
      </w:tr>
      <w:tr w:rsidR="006456A2" w:rsidRPr="00273653" w14:paraId="45815D4A" w14:textId="77777777" w:rsidTr="005D13D4">
        <w:tc>
          <w:tcPr>
            <w:tcW w:w="3055" w:type="dxa"/>
            <w:shd w:val="clear" w:color="auto" w:fill="C6D9F1" w:themeFill="text2" w:themeFillTint="33"/>
          </w:tcPr>
          <w:p w14:paraId="3BE98ADF" w14:textId="6E450B10" w:rsidR="00FF5CD9" w:rsidRPr="004D1B1A" w:rsidRDefault="0021762E" w:rsidP="00A71F5A">
            <w:pPr>
              <w:jc w:val="both"/>
              <w:rPr>
                <w:rFonts w:ascii="Arial" w:hAnsi="Arial" w:cs="Arial"/>
              </w:rPr>
            </w:pPr>
            <w:r>
              <w:rPr>
                <w:rFonts w:ascii="Arial" w:hAnsi="Arial" w:cs="Arial"/>
              </w:rPr>
              <w:t xml:space="preserve">Friday, </w:t>
            </w:r>
            <w:r w:rsidR="00A71F5A">
              <w:rPr>
                <w:rFonts w:ascii="Arial" w:hAnsi="Arial" w:cs="Arial"/>
              </w:rPr>
              <w:t>May 6</w:t>
            </w:r>
            <w:r>
              <w:rPr>
                <w:rFonts w:ascii="Arial" w:hAnsi="Arial" w:cs="Arial"/>
              </w:rPr>
              <w:t>, 2016</w:t>
            </w:r>
          </w:p>
        </w:tc>
        <w:tc>
          <w:tcPr>
            <w:tcW w:w="6449" w:type="dxa"/>
            <w:shd w:val="clear" w:color="auto" w:fill="C6D9F1" w:themeFill="text2" w:themeFillTint="33"/>
          </w:tcPr>
          <w:p w14:paraId="09816EB9" w14:textId="51B55494" w:rsidR="006456A2" w:rsidRPr="00273653" w:rsidRDefault="00FD510B" w:rsidP="006456A2">
            <w:pPr>
              <w:jc w:val="both"/>
              <w:rPr>
                <w:rFonts w:ascii="Arial" w:hAnsi="Arial" w:cs="Arial"/>
              </w:rPr>
            </w:pPr>
            <w:r>
              <w:rPr>
                <w:rFonts w:ascii="Arial" w:hAnsi="Arial" w:cs="Arial"/>
              </w:rPr>
              <w:t>Proposer</w:t>
            </w:r>
            <w:r w:rsidR="006456A2" w:rsidRPr="00273653">
              <w:rPr>
                <w:rFonts w:ascii="Arial" w:hAnsi="Arial" w:cs="Arial"/>
              </w:rPr>
              <w:t xml:space="preserve"> Questions and Letter of Intent Due</w:t>
            </w:r>
          </w:p>
        </w:tc>
      </w:tr>
      <w:tr w:rsidR="006456A2" w:rsidRPr="00273653" w14:paraId="6393526B" w14:textId="77777777" w:rsidTr="005D13D4">
        <w:tc>
          <w:tcPr>
            <w:tcW w:w="3055" w:type="dxa"/>
            <w:shd w:val="clear" w:color="auto" w:fill="C6D9F1" w:themeFill="text2" w:themeFillTint="33"/>
          </w:tcPr>
          <w:p w14:paraId="0EE4AE90" w14:textId="69C65414" w:rsidR="00FF5CD9" w:rsidRPr="004D1B1A" w:rsidRDefault="0021762E" w:rsidP="00A71F5A">
            <w:pPr>
              <w:jc w:val="both"/>
              <w:rPr>
                <w:rFonts w:ascii="Arial" w:hAnsi="Arial" w:cs="Arial"/>
              </w:rPr>
            </w:pPr>
            <w:r>
              <w:rPr>
                <w:rFonts w:ascii="Arial" w:hAnsi="Arial" w:cs="Arial"/>
              </w:rPr>
              <w:t xml:space="preserve">Friday, May </w:t>
            </w:r>
            <w:r w:rsidR="00A71F5A">
              <w:rPr>
                <w:rFonts w:ascii="Arial" w:hAnsi="Arial" w:cs="Arial"/>
              </w:rPr>
              <w:t>13</w:t>
            </w:r>
            <w:r>
              <w:rPr>
                <w:rFonts w:ascii="Arial" w:hAnsi="Arial" w:cs="Arial"/>
              </w:rPr>
              <w:t>, 2016</w:t>
            </w:r>
          </w:p>
        </w:tc>
        <w:tc>
          <w:tcPr>
            <w:tcW w:w="6449" w:type="dxa"/>
            <w:shd w:val="clear" w:color="auto" w:fill="C6D9F1" w:themeFill="text2" w:themeFillTint="33"/>
          </w:tcPr>
          <w:p w14:paraId="76097325" w14:textId="77777777" w:rsidR="006456A2" w:rsidRPr="00273653" w:rsidRDefault="006456A2" w:rsidP="006456A2">
            <w:pPr>
              <w:jc w:val="both"/>
              <w:rPr>
                <w:rFonts w:ascii="Arial" w:hAnsi="Arial" w:cs="Arial"/>
                <w:b/>
              </w:rPr>
            </w:pPr>
            <w:r w:rsidRPr="00B56EE6">
              <w:rPr>
                <w:rFonts w:ascii="Arial" w:hAnsi="Arial" w:cs="Arial"/>
              </w:rPr>
              <w:t>ETF</w:t>
            </w:r>
            <w:r w:rsidRPr="00273653">
              <w:rPr>
                <w:rFonts w:ascii="Arial" w:hAnsi="Arial" w:cs="Arial"/>
              </w:rPr>
              <w:t xml:space="preserve"> Posts Answers to Questions on </w:t>
            </w:r>
            <w:r w:rsidRPr="00451A40">
              <w:rPr>
                <w:rFonts w:ascii="Arial" w:hAnsi="Arial" w:cs="Arial"/>
              </w:rPr>
              <w:t>ETF Extranet</w:t>
            </w:r>
          </w:p>
        </w:tc>
      </w:tr>
      <w:tr w:rsidR="006456A2" w:rsidRPr="00273653" w14:paraId="30B8D037" w14:textId="77777777" w:rsidTr="005D13D4">
        <w:tc>
          <w:tcPr>
            <w:tcW w:w="3055" w:type="dxa"/>
            <w:shd w:val="clear" w:color="auto" w:fill="C6D9F1" w:themeFill="text2" w:themeFillTint="33"/>
          </w:tcPr>
          <w:p w14:paraId="25CDB601" w14:textId="6C722335" w:rsidR="00FF5CD9" w:rsidRPr="0021762E" w:rsidRDefault="0021762E" w:rsidP="0021762E">
            <w:pPr>
              <w:jc w:val="both"/>
              <w:rPr>
                <w:rFonts w:ascii="Arial" w:hAnsi="Arial" w:cs="Arial"/>
              </w:rPr>
            </w:pPr>
            <w:r w:rsidRPr="0021762E">
              <w:rPr>
                <w:rFonts w:ascii="Arial" w:hAnsi="Arial" w:cs="Arial"/>
              </w:rPr>
              <w:t xml:space="preserve">Friday, </w:t>
            </w:r>
            <w:r>
              <w:rPr>
                <w:rFonts w:ascii="Arial" w:hAnsi="Arial" w:cs="Arial"/>
              </w:rPr>
              <w:t>May 27</w:t>
            </w:r>
            <w:r w:rsidRPr="0021762E">
              <w:rPr>
                <w:rFonts w:ascii="Arial" w:hAnsi="Arial" w:cs="Arial"/>
              </w:rPr>
              <w:t>, 2016</w:t>
            </w:r>
          </w:p>
        </w:tc>
        <w:tc>
          <w:tcPr>
            <w:tcW w:w="6449" w:type="dxa"/>
            <w:shd w:val="clear" w:color="auto" w:fill="C6D9F1" w:themeFill="text2" w:themeFillTint="33"/>
          </w:tcPr>
          <w:p w14:paraId="5FCC03C0" w14:textId="76F4D147" w:rsidR="006456A2" w:rsidRPr="00273653" w:rsidRDefault="005D13D4" w:rsidP="00F94625">
            <w:pPr>
              <w:jc w:val="both"/>
              <w:rPr>
                <w:rFonts w:ascii="Arial" w:hAnsi="Arial" w:cs="Arial"/>
                <w:b/>
              </w:rPr>
            </w:pPr>
            <w:r>
              <w:rPr>
                <w:rFonts w:ascii="Arial" w:hAnsi="Arial" w:cs="Arial"/>
                <w:b/>
              </w:rPr>
              <w:t xml:space="preserve">PROPOSAL DUE DATE: </w:t>
            </w:r>
            <w:r w:rsidR="008E6BAC" w:rsidRPr="00273653">
              <w:rPr>
                <w:rFonts w:ascii="Arial" w:hAnsi="Arial" w:cs="Arial"/>
                <w:b/>
              </w:rPr>
              <w:t>Proposals D</w:t>
            </w:r>
            <w:r w:rsidR="006456A2" w:rsidRPr="00273653">
              <w:rPr>
                <w:rFonts w:ascii="Arial" w:hAnsi="Arial" w:cs="Arial"/>
                <w:b/>
              </w:rPr>
              <w:t>ue</w:t>
            </w:r>
            <w:r w:rsidR="001838DA" w:rsidRPr="00273653">
              <w:rPr>
                <w:rFonts w:ascii="Arial" w:hAnsi="Arial" w:cs="Arial"/>
                <w:b/>
              </w:rPr>
              <w:t xml:space="preserve"> </w:t>
            </w:r>
            <w:r w:rsidR="00900153">
              <w:rPr>
                <w:rFonts w:ascii="Arial" w:hAnsi="Arial" w:cs="Arial"/>
                <w:b/>
              </w:rPr>
              <w:t xml:space="preserve">by 2:00 </w:t>
            </w:r>
            <w:r w:rsidR="00F94625">
              <w:rPr>
                <w:rFonts w:ascii="Arial" w:hAnsi="Arial" w:cs="Arial"/>
                <w:b/>
              </w:rPr>
              <w:t xml:space="preserve">p.m. </w:t>
            </w:r>
            <w:r w:rsidR="003B4D22">
              <w:rPr>
                <w:rFonts w:ascii="Arial" w:hAnsi="Arial" w:cs="Arial"/>
                <w:b/>
              </w:rPr>
              <w:t>CD</w:t>
            </w:r>
            <w:r w:rsidR="00900153">
              <w:rPr>
                <w:rFonts w:ascii="Arial" w:hAnsi="Arial" w:cs="Arial"/>
                <w:b/>
              </w:rPr>
              <w:t>T</w:t>
            </w:r>
          </w:p>
        </w:tc>
      </w:tr>
      <w:tr w:rsidR="0021762E" w:rsidRPr="00273653" w14:paraId="7CD6465C" w14:textId="77777777" w:rsidTr="005D13D4">
        <w:tc>
          <w:tcPr>
            <w:tcW w:w="3055" w:type="dxa"/>
            <w:shd w:val="clear" w:color="auto" w:fill="C6D9F1" w:themeFill="text2" w:themeFillTint="33"/>
          </w:tcPr>
          <w:p w14:paraId="57E567DB" w14:textId="0E31E0B7" w:rsidR="0021762E" w:rsidRPr="00273653" w:rsidRDefault="0021762E" w:rsidP="00FF5CD9">
            <w:pPr>
              <w:jc w:val="both"/>
              <w:rPr>
                <w:rFonts w:ascii="Arial" w:hAnsi="Arial" w:cs="Arial"/>
              </w:rPr>
            </w:pPr>
            <w:r>
              <w:rPr>
                <w:rFonts w:ascii="Arial" w:hAnsi="Arial" w:cs="Arial"/>
              </w:rPr>
              <w:t>June 27 – July 1, 2016</w:t>
            </w:r>
          </w:p>
        </w:tc>
        <w:tc>
          <w:tcPr>
            <w:tcW w:w="6449" w:type="dxa"/>
            <w:shd w:val="clear" w:color="auto" w:fill="C6D9F1" w:themeFill="text2" w:themeFillTint="33"/>
          </w:tcPr>
          <w:p w14:paraId="16CE210A" w14:textId="347A8B88" w:rsidR="0021762E" w:rsidRPr="00B56EE6" w:rsidRDefault="00FD510B" w:rsidP="006456A2">
            <w:pPr>
              <w:jc w:val="both"/>
              <w:rPr>
                <w:rFonts w:ascii="Arial" w:hAnsi="Arial" w:cs="Arial"/>
              </w:rPr>
            </w:pPr>
            <w:r>
              <w:rPr>
                <w:rFonts w:ascii="Arial" w:hAnsi="Arial" w:cs="Arial"/>
              </w:rPr>
              <w:t>Proposer</w:t>
            </w:r>
            <w:r w:rsidR="0021762E">
              <w:rPr>
                <w:rFonts w:ascii="Arial" w:hAnsi="Arial" w:cs="Arial"/>
              </w:rPr>
              <w:t xml:space="preserve"> Interviews and </w:t>
            </w:r>
            <w:r w:rsidR="00914E4D">
              <w:rPr>
                <w:rFonts w:ascii="Arial" w:hAnsi="Arial" w:cs="Arial"/>
              </w:rPr>
              <w:t xml:space="preserve">Portal </w:t>
            </w:r>
            <w:r w:rsidR="0021762E">
              <w:rPr>
                <w:rFonts w:ascii="Arial" w:hAnsi="Arial" w:cs="Arial"/>
              </w:rPr>
              <w:t>Demonstrations</w:t>
            </w:r>
          </w:p>
        </w:tc>
      </w:tr>
      <w:tr w:rsidR="00D76252" w:rsidRPr="00273653" w14:paraId="7CF01598" w14:textId="77777777" w:rsidTr="005D13D4">
        <w:tc>
          <w:tcPr>
            <w:tcW w:w="3055" w:type="dxa"/>
            <w:shd w:val="clear" w:color="auto" w:fill="C6D9F1" w:themeFill="text2" w:themeFillTint="33"/>
          </w:tcPr>
          <w:p w14:paraId="59D7D952" w14:textId="0BF2FE58" w:rsidR="00D76252" w:rsidRPr="00273653" w:rsidRDefault="0021762E" w:rsidP="00FF5CD9">
            <w:pPr>
              <w:jc w:val="both"/>
              <w:rPr>
                <w:rFonts w:ascii="Arial" w:hAnsi="Arial" w:cs="Arial"/>
              </w:rPr>
            </w:pPr>
            <w:r>
              <w:rPr>
                <w:rFonts w:ascii="Arial" w:hAnsi="Arial" w:cs="Arial"/>
              </w:rPr>
              <w:t>Friday, July 15, 2016</w:t>
            </w:r>
          </w:p>
        </w:tc>
        <w:tc>
          <w:tcPr>
            <w:tcW w:w="6449" w:type="dxa"/>
            <w:shd w:val="clear" w:color="auto" w:fill="C6D9F1" w:themeFill="text2" w:themeFillTint="33"/>
          </w:tcPr>
          <w:p w14:paraId="48B9048B" w14:textId="77777777" w:rsidR="00D76252" w:rsidRPr="00273653" w:rsidRDefault="00D76252" w:rsidP="006456A2">
            <w:pPr>
              <w:jc w:val="both"/>
              <w:rPr>
                <w:rFonts w:ascii="Arial" w:hAnsi="Arial" w:cs="Arial"/>
              </w:rPr>
            </w:pPr>
            <w:r w:rsidRPr="00B56EE6">
              <w:rPr>
                <w:rFonts w:ascii="Arial" w:hAnsi="Arial" w:cs="Arial"/>
              </w:rPr>
              <w:t>ETF Issues</w:t>
            </w:r>
            <w:r w:rsidRPr="00273653">
              <w:rPr>
                <w:rFonts w:ascii="Arial" w:hAnsi="Arial" w:cs="Arial"/>
              </w:rPr>
              <w:t xml:space="preserve"> an Intent to Award</w:t>
            </w:r>
          </w:p>
        </w:tc>
      </w:tr>
      <w:tr w:rsidR="006456A2" w:rsidRPr="00273653" w14:paraId="05E5D4D0" w14:textId="77777777" w:rsidTr="005D13D4">
        <w:tc>
          <w:tcPr>
            <w:tcW w:w="3055" w:type="dxa"/>
            <w:shd w:val="clear" w:color="auto" w:fill="C6D9F1" w:themeFill="text2" w:themeFillTint="33"/>
          </w:tcPr>
          <w:p w14:paraId="217964E7" w14:textId="09617F1B" w:rsidR="006456A2" w:rsidRPr="00273653" w:rsidRDefault="0021762E" w:rsidP="00FF5CD9">
            <w:pPr>
              <w:jc w:val="both"/>
              <w:rPr>
                <w:rFonts w:ascii="Arial" w:hAnsi="Arial" w:cs="Arial"/>
              </w:rPr>
            </w:pPr>
            <w:r>
              <w:rPr>
                <w:rFonts w:ascii="Arial" w:hAnsi="Arial" w:cs="Arial"/>
              </w:rPr>
              <w:t>Monday, July 18 , 2016</w:t>
            </w:r>
          </w:p>
        </w:tc>
        <w:tc>
          <w:tcPr>
            <w:tcW w:w="6449" w:type="dxa"/>
            <w:shd w:val="clear" w:color="auto" w:fill="C6D9F1" w:themeFill="text2" w:themeFillTint="33"/>
          </w:tcPr>
          <w:p w14:paraId="4920AEFC" w14:textId="6845D161" w:rsidR="006456A2" w:rsidRPr="00273653" w:rsidRDefault="000E54CC" w:rsidP="0021762E">
            <w:pPr>
              <w:jc w:val="both"/>
              <w:rPr>
                <w:rFonts w:ascii="Arial" w:hAnsi="Arial" w:cs="Arial"/>
              </w:rPr>
            </w:pPr>
            <w:r w:rsidRPr="00273653">
              <w:rPr>
                <w:rFonts w:ascii="Arial" w:hAnsi="Arial" w:cs="Arial"/>
              </w:rPr>
              <w:t>C</w:t>
            </w:r>
            <w:r w:rsidR="006456A2" w:rsidRPr="00273653">
              <w:rPr>
                <w:rFonts w:ascii="Arial" w:hAnsi="Arial" w:cs="Arial"/>
              </w:rPr>
              <w:t xml:space="preserve">ontract </w:t>
            </w:r>
            <w:r w:rsidR="0021762E">
              <w:rPr>
                <w:rFonts w:ascii="Arial" w:hAnsi="Arial" w:cs="Arial"/>
              </w:rPr>
              <w:t>N</w:t>
            </w:r>
            <w:r w:rsidR="006456A2" w:rsidRPr="00273653">
              <w:rPr>
                <w:rFonts w:ascii="Arial" w:hAnsi="Arial" w:cs="Arial"/>
              </w:rPr>
              <w:t>egotiations</w:t>
            </w:r>
            <w:r w:rsidR="00EB0CA3">
              <w:rPr>
                <w:rFonts w:ascii="Arial" w:hAnsi="Arial" w:cs="Arial"/>
              </w:rPr>
              <w:t xml:space="preserve"> </w:t>
            </w:r>
            <w:r w:rsidR="0021762E">
              <w:rPr>
                <w:rFonts w:ascii="Arial" w:hAnsi="Arial" w:cs="Arial"/>
              </w:rPr>
              <w:t>B</w:t>
            </w:r>
            <w:r w:rsidR="00EB0CA3">
              <w:rPr>
                <w:rFonts w:ascii="Arial" w:hAnsi="Arial" w:cs="Arial"/>
              </w:rPr>
              <w:t>egin</w:t>
            </w:r>
          </w:p>
        </w:tc>
      </w:tr>
      <w:tr w:rsidR="006456A2" w:rsidRPr="00273653" w14:paraId="1E12A864" w14:textId="77777777" w:rsidTr="005D13D4">
        <w:tc>
          <w:tcPr>
            <w:tcW w:w="3055" w:type="dxa"/>
            <w:shd w:val="clear" w:color="auto" w:fill="C6D9F1" w:themeFill="text2" w:themeFillTint="33"/>
          </w:tcPr>
          <w:p w14:paraId="5D21EC2E" w14:textId="6691F83D" w:rsidR="006456A2" w:rsidRPr="00273653" w:rsidRDefault="0021762E" w:rsidP="00FF5CD9">
            <w:pPr>
              <w:jc w:val="both"/>
              <w:rPr>
                <w:rFonts w:ascii="Arial" w:hAnsi="Arial" w:cs="Arial"/>
              </w:rPr>
            </w:pPr>
            <w:r>
              <w:rPr>
                <w:rFonts w:ascii="Arial" w:hAnsi="Arial" w:cs="Arial"/>
              </w:rPr>
              <w:t xml:space="preserve">Monday, </w:t>
            </w:r>
            <w:r w:rsidR="00370680" w:rsidRPr="00273653">
              <w:rPr>
                <w:rFonts w:ascii="Arial" w:hAnsi="Arial" w:cs="Arial"/>
              </w:rPr>
              <w:t xml:space="preserve">August </w:t>
            </w:r>
            <w:r w:rsidR="00FF5CD9">
              <w:rPr>
                <w:rFonts w:ascii="Arial" w:hAnsi="Arial" w:cs="Arial"/>
              </w:rPr>
              <w:t>1</w:t>
            </w:r>
            <w:r>
              <w:rPr>
                <w:rFonts w:ascii="Arial" w:hAnsi="Arial" w:cs="Arial"/>
              </w:rPr>
              <w:t>5</w:t>
            </w:r>
            <w:r w:rsidR="00296F2C" w:rsidRPr="00273653">
              <w:rPr>
                <w:rFonts w:ascii="Arial" w:hAnsi="Arial" w:cs="Arial"/>
              </w:rPr>
              <w:t>, 201</w:t>
            </w:r>
            <w:r w:rsidR="00FF5CD9">
              <w:rPr>
                <w:rFonts w:ascii="Arial" w:hAnsi="Arial" w:cs="Arial"/>
              </w:rPr>
              <w:t>6</w:t>
            </w:r>
          </w:p>
        </w:tc>
        <w:tc>
          <w:tcPr>
            <w:tcW w:w="6449" w:type="dxa"/>
            <w:shd w:val="clear" w:color="auto" w:fill="C6D9F1" w:themeFill="text2" w:themeFillTint="33"/>
          </w:tcPr>
          <w:p w14:paraId="796E7886" w14:textId="77777777" w:rsidR="006456A2" w:rsidRPr="00273653" w:rsidRDefault="006456A2" w:rsidP="006456A2">
            <w:pPr>
              <w:jc w:val="both"/>
              <w:rPr>
                <w:rFonts w:ascii="Arial" w:hAnsi="Arial" w:cs="Arial"/>
              </w:rPr>
            </w:pPr>
            <w:r w:rsidRPr="00273653">
              <w:rPr>
                <w:rFonts w:ascii="Arial" w:hAnsi="Arial" w:cs="Arial"/>
              </w:rPr>
              <w:t>Contract Start Date</w:t>
            </w:r>
          </w:p>
        </w:tc>
      </w:tr>
    </w:tbl>
    <w:p w14:paraId="4CD2B39C" w14:textId="723FF766" w:rsidR="0040359C" w:rsidRPr="000011BD" w:rsidRDefault="006456A2" w:rsidP="006456A2">
      <w:pPr>
        <w:rPr>
          <w:rFonts w:ascii="Arial" w:hAnsi="Arial" w:cs="Arial"/>
          <w:b/>
        </w:rPr>
      </w:pPr>
      <w:r w:rsidRPr="000011BD">
        <w:rPr>
          <w:rFonts w:ascii="Arial" w:hAnsi="Arial" w:cs="Arial"/>
          <w:b/>
        </w:rPr>
        <w:t>*All dates are estimated with the exception of</w:t>
      </w:r>
      <w:r w:rsidR="00900153">
        <w:rPr>
          <w:rFonts w:ascii="Arial" w:hAnsi="Arial" w:cs="Arial"/>
          <w:b/>
        </w:rPr>
        <w:t xml:space="preserve"> the</w:t>
      </w:r>
      <w:r w:rsidRPr="000011BD">
        <w:rPr>
          <w:rFonts w:ascii="Arial" w:hAnsi="Arial" w:cs="Arial"/>
          <w:b/>
        </w:rPr>
        <w:t xml:space="preserve"> </w:t>
      </w:r>
      <w:r w:rsidR="005D13D4">
        <w:rPr>
          <w:rFonts w:ascii="Arial" w:hAnsi="Arial" w:cs="Arial"/>
          <w:b/>
        </w:rPr>
        <w:t>PROPOSAL DUE DATE</w:t>
      </w:r>
      <w:r w:rsidRPr="000011BD">
        <w:rPr>
          <w:rFonts w:ascii="Arial" w:hAnsi="Arial" w:cs="Arial"/>
          <w:b/>
        </w:rPr>
        <w:t xml:space="preserve"> and time</w:t>
      </w:r>
      <w:r w:rsidR="000011BD">
        <w:rPr>
          <w:rFonts w:ascii="Arial" w:hAnsi="Arial" w:cs="Arial"/>
          <w:b/>
        </w:rPr>
        <w:t>.</w:t>
      </w:r>
    </w:p>
    <w:p w14:paraId="4A4132C0" w14:textId="77777777" w:rsidR="006456A2" w:rsidRPr="00273653" w:rsidRDefault="006456A2" w:rsidP="00644C74">
      <w:pPr>
        <w:pStyle w:val="Heading2"/>
        <w:ind w:left="720" w:hanging="720"/>
      </w:pPr>
      <w:r w:rsidRPr="00273653">
        <w:t xml:space="preserve">Contract Term </w:t>
      </w:r>
    </w:p>
    <w:p w14:paraId="52E02F64" w14:textId="7D86FE85" w:rsidR="00FF5CD9" w:rsidRDefault="00FF5CD9" w:rsidP="00FF5CD9">
      <w:pPr>
        <w:rPr>
          <w:rFonts w:ascii="Arial" w:hAnsi="Arial" w:cs="Arial"/>
          <w:color w:val="000000"/>
        </w:rPr>
      </w:pPr>
      <w:r w:rsidRPr="002C5C9A">
        <w:rPr>
          <w:rFonts w:ascii="Arial" w:hAnsi="Arial" w:cs="Arial"/>
          <w:color w:val="000000"/>
        </w:rPr>
        <w:t>The Contract term for providing the third party administration of</w:t>
      </w:r>
      <w:r>
        <w:rPr>
          <w:rFonts w:ascii="Arial" w:hAnsi="Arial" w:cs="Arial"/>
          <w:color w:val="000000"/>
        </w:rPr>
        <w:t xml:space="preserve"> wellness and disease management programs</w:t>
      </w:r>
      <w:r w:rsidRPr="002C5C9A">
        <w:rPr>
          <w:rFonts w:ascii="Arial" w:hAnsi="Arial" w:cs="Arial"/>
          <w:color w:val="000000"/>
        </w:rPr>
        <w:t xml:space="preserve"> will commence on the Contract start date and shall extend through December 31, 201</w:t>
      </w:r>
      <w:r>
        <w:rPr>
          <w:rFonts w:ascii="Arial" w:hAnsi="Arial" w:cs="Arial"/>
          <w:color w:val="000000"/>
        </w:rPr>
        <w:t>8</w:t>
      </w:r>
      <w:r w:rsidRPr="002C5C9A">
        <w:rPr>
          <w:rFonts w:ascii="Arial" w:hAnsi="Arial" w:cs="Arial"/>
          <w:color w:val="000000"/>
        </w:rPr>
        <w:t>. The Board retains the option, by mutual agreement of the Board and the successful Proposer, to renew the Contract for two (2) additional two (2)-year periods extending the Contract through December 31, 202</w:t>
      </w:r>
      <w:r>
        <w:rPr>
          <w:rFonts w:ascii="Arial" w:hAnsi="Arial" w:cs="Arial"/>
          <w:color w:val="000000"/>
        </w:rPr>
        <w:t>2</w:t>
      </w:r>
      <w:r w:rsidRPr="002C5C9A">
        <w:rPr>
          <w:rFonts w:ascii="Arial" w:hAnsi="Arial" w:cs="Arial"/>
          <w:color w:val="000000"/>
        </w:rPr>
        <w:t>, subject to the satisfactory negotiation of terms, including pricing.</w:t>
      </w:r>
    </w:p>
    <w:p w14:paraId="330F35FE" w14:textId="515B8F31" w:rsidR="00C15A94" w:rsidRPr="003D0A70" w:rsidRDefault="00C15A94" w:rsidP="00FF5CD9">
      <w:pPr>
        <w:rPr>
          <w:rFonts w:ascii="Arial" w:hAnsi="Arial" w:cs="Arial"/>
        </w:rPr>
      </w:pPr>
      <w:r w:rsidRPr="003D0A70">
        <w:rPr>
          <w:rFonts w:ascii="Arial" w:hAnsi="Arial" w:cs="Arial"/>
        </w:rPr>
        <w:t>Cost increases for any Contract renewals may be capped at the maximum of three (3) % per annum or may be negotiated in good faith and mutually agreed upon by both parties.</w:t>
      </w:r>
    </w:p>
    <w:p w14:paraId="63FC3744" w14:textId="1B0303F6" w:rsidR="009939C8" w:rsidRDefault="009939C8" w:rsidP="00644C74">
      <w:pPr>
        <w:pStyle w:val="Heading2"/>
        <w:ind w:left="720" w:hanging="720"/>
      </w:pPr>
      <w:r>
        <w:t xml:space="preserve">Letter of </w:t>
      </w:r>
      <w:r w:rsidRPr="00C94564">
        <w:t>Intent</w:t>
      </w:r>
    </w:p>
    <w:p w14:paraId="5DE12336" w14:textId="01442991" w:rsidR="009939C8" w:rsidRDefault="009939C8" w:rsidP="009939C8">
      <w:pPr>
        <w:pStyle w:val="LRWLBodyText"/>
      </w:pPr>
      <w:r w:rsidRPr="00BE3A23">
        <w:t>A lett</w:t>
      </w:r>
      <w:r>
        <w:t>er of intent indicating that a P</w:t>
      </w:r>
      <w:r w:rsidRPr="00BE3A23">
        <w:t xml:space="preserve">roposer intends to submit a response to this RFP </w:t>
      </w:r>
      <w:r w:rsidR="00690925">
        <w:t>shall</w:t>
      </w:r>
      <w:r w:rsidRPr="00BE3A23">
        <w:t xml:space="preserve"> be submitted to </w:t>
      </w:r>
      <w:r w:rsidR="00690925">
        <w:t>ETF</w:t>
      </w:r>
      <w:r w:rsidRPr="00BE3A23">
        <w:t xml:space="preserve"> by the date indicated in Section 1.</w:t>
      </w:r>
      <w:r w:rsidR="00690925">
        <w:t>9</w:t>
      </w:r>
      <w:r w:rsidR="00C54627">
        <w:t xml:space="preserve"> Calendar of Events</w:t>
      </w:r>
      <w:r w:rsidR="00B56EE6">
        <w:t xml:space="preserve">. </w:t>
      </w:r>
      <w:r w:rsidRPr="00BE3A23">
        <w:t xml:space="preserve">In the letter, </w:t>
      </w:r>
      <w:r w:rsidR="00254BB9">
        <w:t xml:space="preserve">the Proposer </w:t>
      </w:r>
      <w:r w:rsidR="00690925">
        <w:t>shall</w:t>
      </w:r>
      <w:r w:rsidR="00254BB9">
        <w:t xml:space="preserve"> </w:t>
      </w:r>
      <w:r w:rsidRPr="00BE3A23">
        <w:t xml:space="preserve">identify the </w:t>
      </w:r>
      <w:r w:rsidR="00254BB9">
        <w:t>P</w:t>
      </w:r>
      <w:r w:rsidR="00254BB9" w:rsidRPr="00BE3A23">
        <w:t xml:space="preserve">roposer's </w:t>
      </w:r>
      <w:r w:rsidRPr="00BE3A23">
        <w:t>organization and give the name</w:t>
      </w:r>
      <w:r w:rsidR="007B0B4F">
        <w:t>, location, telephone number,</w:t>
      </w:r>
      <w:r w:rsidRPr="00BE3A23">
        <w:t xml:space="preserve"> and e-mail address of one or more pe</w:t>
      </w:r>
      <w:r>
        <w:t>rsons authorized to act on the P</w:t>
      </w:r>
      <w:r w:rsidRPr="00BE3A23">
        <w:t>roposer's behalf</w:t>
      </w:r>
      <w:r w:rsidR="000A6F08">
        <w:t xml:space="preserve">. </w:t>
      </w:r>
      <w:r w:rsidRPr="00BE3A23">
        <w:t xml:space="preserve">Proposers </w:t>
      </w:r>
      <w:r w:rsidR="00690925">
        <w:t>shall</w:t>
      </w:r>
      <w:r w:rsidRPr="00BE3A23">
        <w:t xml:space="preserve"> submit the letter of intent via email to the address in Section 1.</w:t>
      </w:r>
      <w:r w:rsidR="00690925">
        <w:t>4</w:t>
      </w:r>
      <w:r>
        <w:t>.</w:t>
      </w:r>
      <w:r w:rsidR="00FF5CD9">
        <w:t xml:space="preserve"> </w:t>
      </w:r>
      <w:r w:rsidRPr="00BE3A23">
        <w:t xml:space="preserve">The RFP number and title must be referenced in </w:t>
      </w:r>
      <w:r w:rsidR="00734735">
        <w:t xml:space="preserve">the </w:t>
      </w:r>
      <w:r w:rsidR="00FD510B">
        <w:t>Proposer</w:t>
      </w:r>
      <w:r w:rsidR="00690925">
        <w:t>’s</w:t>
      </w:r>
      <w:r w:rsidR="00734735">
        <w:t xml:space="preserve"> contact</w:t>
      </w:r>
      <w:r w:rsidR="00734735" w:rsidRPr="00BE3A23">
        <w:t xml:space="preserve"> </w:t>
      </w:r>
      <w:r w:rsidRPr="00BE3A23">
        <w:t xml:space="preserve">email. The letter of intent does </w:t>
      </w:r>
      <w:r w:rsidRPr="00BE3A23">
        <w:lastRenderedPageBreak/>
        <w:t xml:space="preserve">not obligate the </w:t>
      </w:r>
      <w:r w:rsidR="002D1E83">
        <w:t>P</w:t>
      </w:r>
      <w:r w:rsidR="002D1E83" w:rsidRPr="00BE3A23">
        <w:t xml:space="preserve">roposer </w:t>
      </w:r>
      <w:r w:rsidRPr="00BE3A23">
        <w:t xml:space="preserve">to submit a </w:t>
      </w:r>
      <w:r w:rsidR="0029723D">
        <w:t>Proposal</w:t>
      </w:r>
      <w:r w:rsidRPr="00BE3A23">
        <w:t>.</w:t>
      </w:r>
      <w:r w:rsidR="00F82E9F">
        <w:t xml:space="preserve"> S</w:t>
      </w:r>
      <w:r w:rsidR="00F82E9F" w:rsidRPr="00F82E9F">
        <w:t xml:space="preserve">ubmitting a letter of intent is highly encouraged but not </w:t>
      </w:r>
      <w:r w:rsidR="00F82E9F">
        <w:t>a pre-requisite to submitting a P</w:t>
      </w:r>
      <w:r w:rsidR="00F82E9F" w:rsidRPr="00F82E9F">
        <w:t>roposal</w:t>
      </w:r>
      <w:r w:rsidR="00F82E9F">
        <w:t>.</w:t>
      </w:r>
    </w:p>
    <w:p w14:paraId="2110C3F5" w14:textId="77777777" w:rsidR="0062721E" w:rsidRPr="00273653" w:rsidRDefault="000011BD" w:rsidP="00644C74">
      <w:pPr>
        <w:pStyle w:val="Heading2"/>
        <w:ind w:left="720" w:hanging="720"/>
      </w:pPr>
      <w:r>
        <w:t xml:space="preserve">No </w:t>
      </w:r>
      <w:r w:rsidRPr="00C94564">
        <w:t>Obligation</w:t>
      </w:r>
      <w:r>
        <w:t xml:space="preserve"> to Contract</w:t>
      </w:r>
    </w:p>
    <w:p w14:paraId="1B3A52B7" w14:textId="77777777" w:rsidR="0062721E" w:rsidRPr="00273653" w:rsidRDefault="0062721E" w:rsidP="0062721E">
      <w:pPr>
        <w:pStyle w:val="LRWLBodyText"/>
        <w:rPr>
          <w:rFonts w:cs="Arial"/>
        </w:rPr>
      </w:pPr>
      <w:r w:rsidRPr="00273653">
        <w:rPr>
          <w:rFonts w:cs="Arial"/>
        </w:rPr>
        <w:t xml:space="preserve">The </w:t>
      </w:r>
      <w:r w:rsidR="00AE2A9E">
        <w:rPr>
          <w:rFonts w:cs="Arial"/>
        </w:rPr>
        <w:t>Board</w:t>
      </w:r>
      <w:r w:rsidRPr="00273653">
        <w:rPr>
          <w:rFonts w:cs="Arial"/>
        </w:rPr>
        <w:t xml:space="preserve"> reserves the right to cancel this RFP for any reason prior to the issuance of a notice of intent to award. </w:t>
      </w:r>
      <w:r w:rsidR="00AE2A9E">
        <w:rPr>
          <w:rFonts w:cs="Arial"/>
        </w:rPr>
        <w:t>The Board</w:t>
      </w:r>
      <w:r w:rsidR="00AE2A9E" w:rsidRPr="00273653">
        <w:rPr>
          <w:rFonts w:cs="Arial"/>
        </w:rPr>
        <w:t xml:space="preserve"> </w:t>
      </w:r>
      <w:r w:rsidRPr="00273653">
        <w:rPr>
          <w:rFonts w:cs="Arial"/>
        </w:rPr>
        <w:t xml:space="preserve">does not guarantee to purchase any specific dollar amount. Proposals that stipulate that </w:t>
      </w:r>
      <w:r w:rsidR="00AE2A9E">
        <w:rPr>
          <w:rFonts w:cs="Arial"/>
        </w:rPr>
        <w:t>the Board</w:t>
      </w:r>
      <w:r w:rsidR="00AE2A9E" w:rsidRPr="00273653">
        <w:rPr>
          <w:rFonts w:cs="Arial"/>
        </w:rPr>
        <w:t xml:space="preserve"> </w:t>
      </w:r>
      <w:r w:rsidRPr="00273653">
        <w:rPr>
          <w:rFonts w:cs="Arial"/>
        </w:rPr>
        <w:t>shall guarantee a specific quantity or dollar amount will be disqualified.</w:t>
      </w:r>
    </w:p>
    <w:p w14:paraId="2783FF9D" w14:textId="77777777" w:rsidR="0062721E" w:rsidRPr="00273653" w:rsidRDefault="0062721E" w:rsidP="00644C74">
      <w:pPr>
        <w:pStyle w:val="Heading2"/>
        <w:ind w:left="720" w:hanging="720"/>
      </w:pPr>
      <w:proofErr w:type="spellStart"/>
      <w:r w:rsidRPr="00C94564">
        <w:t>VendorNet</w:t>
      </w:r>
      <w:proofErr w:type="spellEnd"/>
      <w:r w:rsidRPr="00273653">
        <w:t xml:space="preserve"> Registration</w:t>
      </w:r>
    </w:p>
    <w:p w14:paraId="0DF1E84E" w14:textId="6BB17744" w:rsidR="0062721E" w:rsidRPr="00273653" w:rsidRDefault="0062721E" w:rsidP="0062721E">
      <w:pPr>
        <w:pStyle w:val="LRWLBodyText"/>
        <w:rPr>
          <w:rFonts w:cs="Arial"/>
        </w:rPr>
      </w:pPr>
      <w:r w:rsidRPr="00273653">
        <w:rPr>
          <w:rFonts w:cs="Arial"/>
        </w:rPr>
        <w:t xml:space="preserve">Only Vendors registered with the State of Wisconsin’s </w:t>
      </w:r>
      <w:proofErr w:type="spellStart"/>
      <w:r w:rsidRPr="00273653">
        <w:rPr>
          <w:rFonts w:cs="Arial"/>
        </w:rPr>
        <w:t>VendorNet</w:t>
      </w:r>
      <w:proofErr w:type="spellEnd"/>
      <w:r w:rsidRPr="00273653">
        <w:rPr>
          <w:rFonts w:cs="Arial"/>
        </w:rPr>
        <w:t xml:space="preserve"> will receive automatic future official notice for bid opportunities for </w:t>
      </w:r>
      <w:r w:rsidR="00C97D44">
        <w:rPr>
          <w:rFonts w:cs="Arial"/>
        </w:rPr>
        <w:t>S</w:t>
      </w:r>
      <w:r w:rsidR="00C97D44" w:rsidRPr="00273653">
        <w:rPr>
          <w:rFonts w:cs="Arial"/>
        </w:rPr>
        <w:t>ervic</w:t>
      </w:r>
      <w:r w:rsidR="00C97D44">
        <w:rPr>
          <w:rFonts w:cs="Arial"/>
        </w:rPr>
        <w:t>es</w:t>
      </w:r>
      <w:r w:rsidR="000A6F08">
        <w:rPr>
          <w:rFonts w:cs="Arial"/>
        </w:rPr>
        <w:t xml:space="preserve">. </w:t>
      </w:r>
      <w:proofErr w:type="spellStart"/>
      <w:r w:rsidR="00A000BF" w:rsidRPr="00273653">
        <w:rPr>
          <w:rFonts w:cs="Arial"/>
        </w:rPr>
        <w:t>VendorNet</w:t>
      </w:r>
      <w:proofErr w:type="spellEnd"/>
      <w:r w:rsidR="00A000BF" w:rsidRPr="00273653">
        <w:rPr>
          <w:rFonts w:cs="Arial"/>
        </w:rPr>
        <w:t>, the</w:t>
      </w:r>
      <w:r w:rsidRPr="00273653">
        <w:rPr>
          <w:rFonts w:cs="Arial"/>
        </w:rPr>
        <w:t xml:space="preserve"> State of Wisconsin’s purchasing information and </w:t>
      </w:r>
      <w:r w:rsidR="00690925">
        <w:rPr>
          <w:rFonts w:cs="Arial"/>
        </w:rPr>
        <w:t>v</w:t>
      </w:r>
      <w:r w:rsidR="00690925" w:rsidRPr="00273653">
        <w:rPr>
          <w:rFonts w:cs="Arial"/>
        </w:rPr>
        <w:t xml:space="preserve">endor </w:t>
      </w:r>
      <w:r w:rsidRPr="00273653">
        <w:rPr>
          <w:rFonts w:cs="Arial"/>
        </w:rPr>
        <w:t>notification service</w:t>
      </w:r>
      <w:r w:rsidR="00C54627">
        <w:rPr>
          <w:rFonts w:cs="Arial"/>
        </w:rPr>
        <w:t>,</w:t>
      </w:r>
      <w:r w:rsidRPr="00273653">
        <w:rPr>
          <w:rFonts w:cs="Arial"/>
        </w:rPr>
        <w:t xml:space="preserve"> is available to all businesses and organizations that want to sell to the </w:t>
      </w:r>
      <w:r w:rsidR="00A56668">
        <w:rPr>
          <w:rFonts w:cs="Arial"/>
        </w:rPr>
        <w:t>S</w:t>
      </w:r>
      <w:r w:rsidR="00A56668" w:rsidRPr="00273653">
        <w:rPr>
          <w:rFonts w:cs="Arial"/>
        </w:rPr>
        <w:t>tate</w:t>
      </w:r>
      <w:r w:rsidR="000A6F08">
        <w:rPr>
          <w:rFonts w:cs="Arial"/>
        </w:rPr>
        <w:t xml:space="preserve">. </w:t>
      </w:r>
      <w:r w:rsidRPr="00273653">
        <w:rPr>
          <w:rFonts w:cs="Arial"/>
        </w:rPr>
        <w:t xml:space="preserve">Anyone may access </w:t>
      </w:r>
      <w:proofErr w:type="spellStart"/>
      <w:r w:rsidRPr="00273653">
        <w:rPr>
          <w:rFonts w:cs="Arial"/>
        </w:rPr>
        <w:t>VendorNet</w:t>
      </w:r>
      <w:proofErr w:type="spellEnd"/>
      <w:r w:rsidRPr="00273653">
        <w:rPr>
          <w:rFonts w:cs="Arial"/>
        </w:rPr>
        <w:t xml:space="preserve"> on the Internet at </w:t>
      </w:r>
      <w:hyperlink r:id="rId23" w:history="1">
        <w:r w:rsidR="00DC0BBF" w:rsidRPr="00770B47">
          <w:rPr>
            <w:rStyle w:val="Hyperlink"/>
            <w:rFonts w:cs="Arial"/>
          </w:rPr>
          <w:t>http://vendornet.state.wi.us</w:t>
        </w:r>
      </w:hyperlink>
      <w:r w:rsidR="00DC0BBF">
        <w:rPr>
          <w:rFonts w:cs="Arial"/>
        </w:rPr>
        <w:t xml:space="preserve"> </w:t>
      </w:r>
      <w:r w:rsidRPr="00273653">
        <w:rPr>
          <w:rFonts w:cs="Arial"/>
        </w:rPr>
        <w:t xml:space="preserve">to get information on </w:t>
      </w:r>
      <w:r w:rsidR="00A56668">
        <w:rPr>
          <w:rFonts w:cs="Arial"/>
        </w:rPr>
        <w:t>S</w:t>
      </w:r>
      <w:r w:rsidRPr="00273653">
        <w:rPr>
          <w:rFonts w:cs="Arial"/>
        </w:rPr>
        <w:t xml:space="preserve">tate purchasing practices and policies, goods and services that the </w:t>
      </w:r>
      <w:r w:rsidR="00A56668">
        <w:rPr>
          <w:rFonts w:cs="Arial"/>
        </w:rPr>
        <w:t>S</w:t>
      </w:r>
      <w:r w:rsidRPr="00273653">
        <w:rPr>
          <w:rFonts w:cs="Arial"/>
        </w:rPr>
        <w:t xml:space="preserve">tate buys, and tips on selling to the </w:t>
      </w:r>
      <w:r w:rsidR="00A56668">
        <w:rPr>
          <w:rFonts w:cs="Arial"/>
        </w:rPr>
        <w:t>S</w:t>
      </w:r>
      <w:r w:rsidRPr="00273653">
        <w:rPr>
          <w:rFonts w:cs="Arial"/>
        </w:rPr>
        <w:t>tate</w:t>
      </w:r>
      <w:r w:rsidR="000A6F08">
        <w:rPr>
          <w:rFonts w:cs="Arial"/>
        </w:rPr>
        <w:t xml:space="preserve">. </w:t>
      </w:r>
    </w:p>
    <w:p w14:paraId="1469A9A4" w14:textId="77777777" w:rsidR="0062721E" w:rsidRPr="00273653" w:rsidRDefault="0062721E" w:rsidP="00644C74">
      <w:pPr>
        <w:pStyle w:val="Heading2"/>
        <w:ind w:left="720" w:hanging="720"/>
      </w:pPr>
      <w:r w:rsidRPr="00C94564">
        <w:t>Retention</w:t>
      </w:r>
      <w:r w:rsidRPr="00273653">
        <w:t xml:space="preserve"> of Rights</w:t>
      </w:r>
    </w:p>
    <w:p w14:paraId="349DBFFC" w14:textId="6F283C76" w:rsidR="0062721E" w:rsidRPr="00273653" w:rsidRDefault="0062721E" w:rsidP="0062721E">
      <w:pPr>
        <w:pStyle w:val="LRWLBodyText"/>
        <w:rPr>
          <w:rFonts w:cs="Arial"/>
        </w:rPr>
      </w:pPr>
      <w:r w:rsidRPr="00273653">
        <w:rPr>
          <w:rFonts w:cs="Arial"/>
        </w:rPr>
        <w:t xml:space="preserve">All Proposals become the property </w:t>
      </w:r>
      <w:r w:rsidRPr="00B56EE6">
        <w:rPr>
          <w:rFonts w:cs="Arial"/>
        </w:rPr>
        <w:t>of ETF upon receipt</w:t>
      </w:r>
      <w:r w:rsidR="000A6F08">
        <w:rPr>
          <w:rFonts w:cs="Arial"/>
        </w:rPr>
        <w:t xml:space="preserve">. </w:t>
      </w:r>
      <w:r w:rsidRPr="00B56EE6">
        <w:rPr>
          <w:rFonts w:cs="Arial"/>
        </w:rPr>
        <w:t xml:space="preserve">All rights, title and interest in all materials and ideas prepared by the Proposer for the Proposal to ETF shall be the exclusive property of ETF and may be used by the State of Wisconsin at its </w:t>
      </w:r>
      <w:r w:rsidR="00EB0CA3" w:rsidRPr="00B56EE6">
        <w:rPr>
          <w:rFonts w:cs="Arial"/>
        </w:rPr>
        <w:t>discretion</w:t>
      </w:r>
      <w:r w:rsidRPr="00273653">
        <w:rPr>
          <w:rFonts w:cs="Arial"/>
        </w:rPr>
        <w:t>.</w:t>
      </w:r>
    </w:p>
    <w:p w14:paraId="22DB045C" w14:textId="4E113AD5" w:rsidR="006456A2" w:rsidRPr="00273653" w:rsidRDefault="006456A2" w:rsidP="008C43BC">
      <w:pPr>
        <w:pStyle w:val="Heading1"/>
        <w:tabs>
          <w:tab w:val="num" w:pos="4320"/>
        </w:tabs>
        <w:ind w:left="360" w:hanging="360"/>
      </w:pPr>
      <w:bookmarkStart w:id="10" w:name="_Toc398562523"/>
      <w:bookmarkStart w:id="11" w:name="_Toc448905181"/>
      <w:r w:rsidRPr="00273653">
        <w:t>Preparing and Submitting a Proposal</w:t>
      </w:r>
      <w:bookmarkEnd w:id="10"/>
      <w:bookmarkEnd w:id="11"/>
    </w:p>
    <w:p w14:paraId="474300C8" w14:textId="77777777" w:rsidR="006456A2" w:rsidRPr="00273653" w:rsidRDefault="006456A2" w:rsidP="00644C74">
      <w:pPr>
        <w:pStyle w:val="Heading2"/>
        <w:ind w:left="720" w:hanging="720"/>
      </w:pPr>
      <w:r w:rsidRPr="00273653">
        <w:t xml:space="preserve">General </w:t>
      </w:r>
      <w:r w:rsidRPr="00C94564">
        <w:t>Instructions</w:t>
      </w:r>
    </w:p>
    <w:p w14:paraId="6471611A" w14:textId="340B09F8" w:rsidR="00A56668" w:rsidRPr="00273653" w:rsidRDefault="00A56668" w:rsidP="00A56668">
      <w:pPr>
        <w:pStyle w:val="LRWLBodyText"/>
        <w:rPr>
          <w:rFonts w:cs="Arial"/>
        </w:rPr>
      </w:pPr>
      <w:r w:rsidRPr="00273653">
        <w:rPr>
          <w:rFonts w:cs="Arial"/>
        </w:rPr>
        <w:t xml:space="preserve">The evaluation and selection of a </w:t>
      </w:r>
      <w:r w:rsidR="00FD510B">
        <w:rPr>
          <w:rFonts w:cs="Arial"/>
        </w:rPr>
        <w:t>Proposer</w:t>
      </w:r>
      <w:r w:rsidRPr="00273653">
        <w:rPr>
          <w:rFonts w:cs="Arial"/>
        </w:rPr>
        <w:t xml:space="preserve"> will be based on the information submitted in </w:t>
      </w:r>
      <w:r w:rsidR="00FD510B">
        <w:rPr>
          <w:rFonts w:cs="Arial"/>
        </w:rPr>
        <w:t>Proposer</w:t>
      </w:r>
      <w:r>
        <w:rPr>
          <w:rFonts w:cs="Arial"/>
        </w:rPr>
        <w:t xml:space="preserve">’s </w:t>
      </w:r>
      <w:r w:rsidRPr="00273653">
        <w:rPr>
          <w:rFonts w:cs="Arial"/>
        </w:rPr>
        <w:t xml:space="preserve">Proposal plus references, any presentations (if requested), </w:t>
      </w:r>
      <w:r>
        <w:rPr>
          <w:rFonts w:cs="Arial"/>
        </w:rPr>
        <w:t xml:space="preserve">interviews, demonstrations, </w:t>
      </w:r>
      <w:r w:rsidRPr="00273653">
        <w:rPr>
          <w:rFonts w:cs="Arial"/>
        </w:rPr>
        <w:t>responses to requests for additional information or clarification, any on-site visits or best and final offers (BAFOs)</w:t>
      </w:r>
      <w:r>
        <w:rPr>
          <w:rFonts w:cs="Arial"/>
        </w:rPr>
        <w:t>,</w:t>
      </w:r>
      <w:r w:rsidRPr="00273653">
        <w:rPr>
          <w:rFonts w:cs="Arial"/>
        </w:rPr>
        <w:t xml:space="preserve"> where requested</w:t>
      </w:r>
      <w:r>
        <w:rPr>
          <w:rFonts w:cs="Arial"/>
        </w:rPr>
        <w:t xml:space="preserve">. </w:t>
      </w:r>
    </w:p>
    <w:p w14:paraId="41273048" w14:textId="10068E2B" w:rsidR="006456A2" w:rsidRPr="00273653" w:rsidRDefault="006456A2" w:rsidP="006456A2">
      <w:pPr>
        <w:pStyle w:val="LRWLBodyText"/>
        <w:rPr>
          <w:rFonts w:cs="Arial"/>
        </w:rPr>
      </w:pPr>
      <w:r w:rsidRPr="00273653">
        <w:rPr>
          <w:rFonts w:cs="Arial"/>
        </w:rPr>
        <w:t>Failure to respond to each of the requirements in th</w:t>
      </w:r>
      <w:r w:rsidR="00A56668">
        <w:rPr>
          <w:rFonts w:cs="Arial"/>
        </w:rPr>
        <w:t>is</w:t>
      </w:r>
      <w:r w:rsidRPr="00273653">
        <w:rPr>
          <w:rFonts w:cs="Arial"/>
        </w:rPr>
        <w:t xml:space="preserve"> RFP may be the basis for rejecting a </w:t>
      </w:r>
      <w:r w:rsidR="00A56668" w:rsidRPr="00273653">
        <w:rPr>
          <w:rFonts w:cs="Arial"/>
        </w:rPr>
        <w:t>Proposal</w:t>
      </w:r>
      <w:r w:rsidRPr="00273653">
        <w:rPr>
          <w:rFonts w:cs="Arial"/>
        </w:rPr>
        <w:t>.</w:t>
      </w:r>
    </w:p>
    <w:p w14:paraId="17740B28" w14:textId="77777777" w:rsidR="006456A2" w:rsidRPr="00273653" w:rsidRDefault="006456A2" w:rsidP="006456A2">
      <w:pPr>
        <w:pStyle w:val="LRWLBodyText"/>
        <w:rPr>
          <w:rFonts w:cs="Arial"/>
        </w:rPr>
      </w:pPr>
      <w:r w:rsidRPr="00273653">
        <w:rPr>
          <w:rFonts w:cs="Arial"/>
        </w:rPr>
        <w:t xml:space="preserve">Elaborate </w:t>
      </w:r>
      <w:r w:rsidR="0029723D">
        <w:rPr>
          <w:rFonts w:cs="Arial"/>
        </w:rPr>
        <w:t>Proposal</w:t>
      </w:r>
      <w:r w:rsidRPr="00273653">
        <w:rPr>
          <w:rFonts w:cs="Arial"/>
        </w:rPr>
        <w:t xml:space="preserve">s (e.g., expensive artwork), beyond that sufficient to present a complete and effective </w:t>
      </w:r>
      <w:r w:rsidR="0029723D">
        <w:rPr>
          <w:rFonts w:cs="Arial"/>
        </w:rPr>
        <w:t>Proposal</w:t>
      </w:r>
      <w:r w:rsidRPr="00273653">
        <w:rPr>
          <w:rFonts w:cs="Arial"/>
        </w:rPr>
        <w:t>, are neither necessary nor desired.</w:t>
      </w:r>
    </w:p>
    <w:p w14:paraId="59DCBE91" w14:textId="77777777" w:rsidR="006456A2" w:rsidRPr="00273653" w:rsidRDefault="006456A2" w:rsidP="00644C74">
      <w:pPr>
        <w:pStyle w:val="Heading2"/>
        <w:ind w:left="720" w:hanging="720"/>
      </w:pPr>
      <w:r w:rsidRPr="00C94564">
        <w:t>Incurring</w:t>
      </w:r>
      <w:r w:rsidRPr="00273653">
        <w:t xml:space="preserve"> Costs</w:t>
      </w:r>
    </w:p>
    <w:p w14:paraId="0487B3FF" w14:textId="268A494F" w:rsidR="006456A2" w:rsidRPr="00273653" w:rsidRDefault="006456A2" w:rsidP="006456A2">
      <w:pPr>
        <w:pStyle w:val="LRWLBodyText"/>
        <w:rPr>
          <w:rFonts w:cs="Arial"/>
        </w:rPr>
      </w:pPr>
      <w:r w:rsidRPr="00273653">
        <w:rPr>
          <w:rFonts w:cs="Arial"/>
        </w:rPr>
        <w:t xml:space="preserve">The State of Wisconsin </w:t>
      </w:r>
      <w:r w:rsidR="00A56668">
        <w:rPr>
          <w:rFonts w:cs="Arial"/>
        </w:rPr>
        <w:t>and</w:t>
      </w:r>
      <w:r w:rsidR="00A56668" w:rsidRPr="00B56EE6">
        <w:rPr>
          <w:rFonts w:cs="Arial"/>
        </w:rPr>
        <w:t xml:space="preserve"> </w:t>
      </w:r>
      <w:r w:rsidRPr="00B56EE6">
        <w:rPr>
          <w:rFonts w:cs="Arial"/>
        </w:rPr>
        <w:t xml:space="preserve">ETF </w:t>
      </w:r>
      <w:r w:rsidR="00A56668">
        <w:rPr>
          <w:rFonts w:cs="Arial"/>
        </w:rPr>
        <w:t>are</w:t>
      </w:r>
      <w:r w:rsidR="00EA62C3" w:rsidRPr="00B56EE6">
        <w:rPr>
          <w:rFonts w:cs="Arial"/>
        </w:rPr>
        <w:t xml:space="preserve"> </w:t>
      </w:r>
      <w:r w:rsidRPr="00B56EE6">
        <w:rPr>
          <w:rFonts w:cs="Arial"/>
        </w:rPr>
        <w:t>not</w:t>
      </w:r>
      <w:r w:rsidRPr="00273653">
        <w:rPr>
          <w:rFonts w:cs="Arial"/>
        </w:rPr>
        <w:t xml:space="preserve"> liable for any costs incurred by </w:t>
      </w:r>
      <w:r w:rsidR="00FD510B">
        <w:rPr>
          <w:rFonts w:cs="Arial"/>
        </w:rPr>
        <w:t>Proposer</w:t>
      </w:r>
      <w:r w:rsidRPr="00273653">
        <w:rPr>
          <w:rFonts w:cs="Arial"/>
        </w:rPr>
        <w:t>s in replying to this RFP, making requested oral presentations</w:t>
      </w:r>
      <w:r w:rsidR="00C54627">
        <w:rPr>
          <w:rFonts w:cs="Arial"/>
        </w:rPr>
        <w:t>, or demonstrations</w:t>
      </w:r>
      <w:r w:rsidRPr="00273653">
        <w:rPr>
          <w:rFonts w:cs="Arial"/>
        </w:rPr>
        <w:t>.</w:t>
      </w:r>
    </w:p>
    <w:p w14:paraId="6510DFA7" w14:textId="77777777" w:rsidR="006456A2" w:rsidRPr="00273653" w:rsidRDefault="006456A2" w:rsidP="00644C74">
      <w:pPr>
        <w:pStyle w:val="Heading2"/>
        <w:ind w:left="720" w:hanging="720"/>
      </w:pPr>
      <w:r w:rsidRPr="00273653">
        <w:lastRenderedPageBreak/>
        <w:t xml:space="preserve">Submitting </w:t>
      </w:r>
      <w:r w:rsidRPr="00C94564">
        <w:t>the</w:t>
      </w:r>
      <w:r w:rsidRPr="00273653">
        <w:t xml:space="preserve"> Proposal </w:t>
      </w:r>
    </w:p>
    <w:p w14:paraId="5360F557" w14:textId="77777777" w:rsidR="006456A2" w:rsidRPr="00273653" w:rsidRDefault="006456A2" w:rsidP="006456A2">
      <w:pPr>
        <w:pStyle w:val="LRWLBodyText"/>
        <w:rPr>
          <w:rStyle w:val="Strong"/>
          <w:rFonts w:cs="Arial"/>
          <w:b w:val="0"/>
        </w:rPr>
      </w:pPr>
      <w:r w:rsidRPr="00273653">
        <w:rPr>
          <w:rStyle w:val="Strong"/>
          <w:rFonts w:cs="Arial"/>
          <w:b w:val="0"/>
        </w:rPr>
        <w:t>Proposers must submit the following, including all materials required for acceptance of their Proposal:</w:t>
      </w:r>
    </w:p>
    <w:p w14:paraId="49B0E51E" w14:textId="77777777" w:rsidR="006456A2" w:rsidRPr="00273653" w:rsidRDefault="006456A2" w:rsidP="006456A2">
      <w:pPr>
        <w:pStyle w:val="LRWLBodyTextBullet1"/>
        <w:rPr>
          <w:rStyle w:val="Strong"/>
          <w:rFonts w:cs="Arial"/>
          <w:b w:val="0"/>
        </w:rPr>
      </w:pPr>
      <w:r w:rsidRPr="00273653">
        <w:rPr>
          <w:rStyle w:val="Strong"/>
          <w:rFonts w:cs="Arial"/>
          <w:b w:val="0"/>
        </w:rPr>
        <w:t>One (1) original hard copy Proposal, clearly labeled “ORIGINAL”</w:t>
      </w:r>
    </w:p>
    <w:p w14:paraId="394D9018" w14:textId="4BC1448C" w:rsidR="00A56668" w:rsidRDefault="00911E1F" w:rsidP="00A56668">
      <w:pPr>
        <w:pStyle w:val="LRWLBodyTextBullet1"/>
        <w:rPr>
          <w:rStyle w:val="Strong"/>
          <w:rFonts w:cs="Arial"/>
          <w:b w:val="0"/>
        </w:rPr>
      </w:pPr>
      <w:r>
        <w:rPr>
          <w:rStyle w:val="Strong"/>
          <w:rFonts w:cs="Arial"/>
          <w:b w:val="0"/>
        </w:rPr>
        <w:t>Ten</w:t>
      </w:r>
      <w:r w:rsidRPr="001D4728">
        <w:rPr>
          <w:rStyle w:val="Strong"/>
          <w:rFonts w:cs="Arial"/>
          <w:b w:val="0"/>
        </w:rPr>
        <w:t xml:space="preserve"> </w:t>
      </w:r>
      <w:r w:rsidR="00A56668" w:rsidRPr="001D4728">
        <w:rPr>
          <w:rStyle w:val="Strong"/>
          <w:rFonts w:cs="Arial"/>
          <w:b w:val="0"/>
        </w:rPr>
        <w:t>(</w:t>
      </w:r>
      <w:r>
        <w:rPr>
          <w:rStyle w:val="Strong"/>
          <w:rFonts w:cs="Arial"/>
          <w:b w:val="0"/>
        </w:rPr>
        <w:t>10</w:t>
      </w:r>
      <w:r w:rsidR="00A56668" w:rsidRPr="001D4728">
        <w:rPr>
          <w:rStyle w:val="Strong"/>
          <w:rFonts w:cs="Arial"/>
          <w:b w:val="0"/>
        </w:rPr>
        <w:t>)</w:t>
      </w:r>
      <w:r w:rsidR="00A56668" w:rsidRPr="00273653">
        <w:rPr>
          <w:rStyle w:val="Strong"/>
          <w:rFonts w:cs="Arial"/>
          <w:b w:val="0"/>
        </w:rPr>
        <w:t xml:space="preserve"> identical hard copy paper copies of the original paper Proposal, marked as “COPY.”  Indicate the copy number (for example: 1 of </w:t>
      </w:r>
      <w:r w:rsidR="00D80296">
        <w:rPr>
          <w:rStyle w:val="Strong"/>
          <w:rFonts w:cs="Arial"/>
          <w:b w:val="0"/>
        </w:rPr>
        <w:t>10</w:t>
      </w:r>
      <w:r w:rsidR="00A56668" w:rsidRPr="00273653">
        <w:rPr>
          <w:rStyle w:val="Strong"/>
          <w:rFonts w:cs="Arial"/>
          <w:b w:val="0"/>
        </w:rPr>
        <w:t xml:space="preserve">, 2 of </w:t>
      </w:r>
      <w:r w:rsidR="00D80296">
        <w:rPr>
          <w:rStyle w:val="Strong"/>
          <w:rFonts w:cs="Arial"/>
          <w:b w:val="0"/>
        </w:rPr>
        <w:t>10</w:t>
      </w:r>
      <w:r w:rsidR="00A56668" w:rsidRPr="00273653">
        <w:rPr>
          <w:rStyle w:val="Strong"/>
          <w:rFonts w:cs="Arial"/>
          <w:b w:val="0"/>
        </w:rPr>
        <w:t>, etc.)</w:t>
      </w:r>
      <w:r w:rsidR="00A56668">
        <w:rPr>
          <w:rStyle w:val="Strong"/>
          <w:rFonts w:cs="Arial"/>
          <w:b w:val="0"/>
        </w:rPr>
        <w:t>.</w:t>
      </w:r>
    </w:p>
    <w:p w14:paraId="55E7CD66" w14:textId="77777777" w:rsidR="00D51F30" w:rsidRDefault="00D51F30" w:rsidP="00E10F37">
      <w:pPr>
        <w:pStyle w:val="LRWLBodyTextBullet1"/>
        <w:rPr>
          <w:rStyle w:val="Strong"/>
          <w:rFonts w:cs="Arial"/>
          <w:b w:val="0"/>
        </w:rPr>
      </w:pPr>
      <w:r w:rsidRPr="00E10F37">
        <w:rPr>
          <w:rStyle w:val="Strong"/>
          <w:rFonts w:cs="Arial"/>
          <w:b w:val="0"/>
        </w:rPr>
        <w:t>One (1)</w:t>
      </w:r>
      <w:r w:rsidRPr="00D51F30">
        <w:rPr>
          <w:rStyle w:val="Strong"/>
          <w:rFonts w:cs="Arial"/>
          <w:b w:val="0"/>
        </w:rPr>
        <w:t xml:space="preserve"> </w:t>
      </w:r>
      <w:r w:rsidRPr="00E10F37">
        <w:rPr>
          <w:rStyle w:val="Strong"/>
          <w:rFonts w:cs="Arial"/>
          <w:b w:val="0"/>
        </w:rPr>
        <w:t>USB flash drive</w:t>
      </w:r>
      <w:r>
        <w:rPr>
          <w:rStyle w:val="Strong"/>
          <w:rFonts w:cs="Arial"/>
          <w:b w:val="0"/>
        </w:rPr>
        <w:t xml:space="preserve">, </w:t>
      </w:r>
      <w:r w:rsidR="002D1E83">
        <w:rPr>
          <w:rStyle w:val="Strong"/>
          <w:rFonts w:cs="Arial"/>
          <w:b w:val="0"/>
        </w:rPr>
        <w:t xml:space="preserve">which includes </w:t>
      </w:r>
      <w:r>
        <w:rPr>
          <w:rStyle w:val="Strong"/>
          <w:rFonts w:cs="Arial"/>
          <w:b w:val="0"/>
        </w:rPr>
        <w:t>the following:</w:t>
      </w:r>
    </w:p>
    <w:p w14:paraId="3E91DB24" w14:textId="222B29DA" w:rsidR="00A56668" w:rsidRDefault="00A56668" w:rsidP="00A56668">
      <w:pPr>
        <w:pStyle w:val="LRWLBodyTextBullet1"/>
        <w:numPr>
          <w:ilvl w:val="1"/>
          <w:numId w:val="4"/>
        </w:numPr>
        <w:rPr>
          <w:rStyle w:val="Strong"/>
          <w:rFonts w:cs="Arial"/>
          <w:b w:val="0"/>
        </w:rPr>
      </w:pPr>
      <w:r>
        <w:rPr>
          <w:rStyle w:val="Strong"/>
          <w:rFonts w:cs="Arial"/>
          <w:b w:val="0"/>
        </w:rPr>
        <w:t>One (1) file folder</w:t>
      </w:r>
      <w:r w:rsidRPr="00D51F30">
        <w:t xml:space="preserve"> </w:t>
      </w:r>
      <w:r>
        <w:t xml:space="preserve">of </w:t>
      </w:r>
      <w:r w:rsidRPr="00D51F30">
        <w:rPr>
          <w:rStyle w:val="Strong"/>
          <w:rFonts w:cs="Arial"/>
          <w:b w:val="0"/>
        </w:rPr>
        <w:t xml:space="preserve">all </w:t>
      </w:r>
      <w:r w:rsidRPr="00D50B8B">
        <w:rPr>
          <w:rStyle w:val="Strong"/>
          <w:rFonts w:cs="Arial"/>
          <w:b w:val="0"/>
        </w:rPr>
        <w:t xml:space="preserve">un-locked and non-password protected </w:t>
      </w:r>
      <w:r>
        <w:rPr>
          <w:rStyle w:val="Strong"/>
          <w:rFonts w:cs="Arial"/>
          <w:b w:val="0"/>
        </w:rPr>
        <w:t xml:space="preserve">electronic </w:t>
      </w:r>
      <w:r w:rsidRPr="00D51F30">
        <w:rPr>
          <w:rStyle w:val="Strong"/>
          <w:rFonts w:cs="Arial"/>
          <w:b w:val="0"/>
        </w:rPr>
        <w:t>Proposal files in Microsoft Word/Microsof</w:t>
      </w:r>
      <w:r>
        <w:rPr>
          <w:rStyle w:val="Strong"/>
          <w:rFonts w:cs="Arial"/>
          <w:b w:val="0"/>
        </w:rPr>
        <w:t>t Excel, and/or Adobe Acrobat 9.</w:t>
      </w:r>
      <w:r w:rsidRPr="00D51F30">
        <w:rPr>
          <w:rStyle w:val="Strong"/>
          <w:rFonts w:cs="Arial"/>
          <w:b w:val="0"/>
        </w:rPr>
        <w:t xml:space="preserve">0 format. </w:t>
      </w:r>
      <w:r>
        <w:rPr>
          <w:rStyle w:val="Strong"/>
          <w:rFonts w:cs="Arial"/>
          <w:b w:val="0"/>
        </w:rPr>
        <w:t xml:space="preserve"> The file folder must be labeled “</w:t>
      </w:r>
      <w:r w:rsidRPr="003D220D">
        <w:rPr>
          <w:rStyle w:val="Strong"/>
          <w:rFonts w:cs="Arial"/>
        </w:rPr>
        <w:t>[</w:t>
      </w:r>
      <w:r w:rsidR="00FD510B">
        <w:rPr>
          <w:rStyle w:val="Strong"/>
          <w:rFonts w:cs="Arial"/>
        </w:rPr>
        <w:t>Proposer</w:t>
      </w:r>
      <w:r w:rsidRPr="003D220D">
        <w:rPr>
          <w:rStyle w:val="Strong"/>
          <w:rFonts w:cs="Arial"/>
        </w:rPr>
        <w:t xml:space="preserve"> Name] PROPOSAL</w:t>
      </w:r>
      <w:r>
        <w:rPr>
          <w:rStyle w:val="Strong"/>
          <w:rFonts w:cs="Arial"/>
          <w:b w:val="0"/>
        </w:rPr>
        <w:t>”.</w:t>
      </w:r>
    </w:p>
    <w:p w14:paraId="7C90CD9D" w14:textId="3ACC4DBD" w:rsidR="00A56668" w:rsidRPr="000D6FBC" w:rsidRDefault="00A56668" w:rsidP="00A56668">
      <w:pPr>
        <w:pStyle w:val="LRWLBodyTextBullet1"/>
        <w:numPr>
          <w:ilvl w:val="1"/>
          <w:numId w:val="4"/>
        </w:numPr>
        <w:rPr>
          <w:rStyle w:val="Strong"/>
          <w:rFonts w:cs="Arial"/>
          <w:b w:val="0"/>
        </w:rPr>
      </w:pPr>
      <w:r>
        <w:rPr>
          <w:rStyle w:val="Strong"/>
          <w:rFonts w:cs="Arial"/>
          <w:b w:val="0"/>
        </w:rPr>
        <w:t>One (1) file folder</w:t>
      </w:r>
      <w:r w:rsidRPr="00D51F30">
        <w:t xml:space="preserve"> </w:t>
      </w:r>
      <w:r>
        <w:t xml:space="preserve">of </w:t>
      </w:r>
      <w:r w:rsidRPr="00D51F30">
        <w:rPr>
          <w:rStyle w:val="Strong"/>
          <w:rFonts w:cs="Arial"/>
          <w:b w:val="0"/>
        </w:rPr>
        <w:t xml:space="preserve">all </w:t>
      </w:r>
      <w:r>
        <w:rPr>
          <w:rStyle w:val="Strong"/>
          <w:rFonts w:cs="Arial"/>
          <w:b w:val="0"/>
        </w:rPr>
        <w:t xml:space="preserve">electronic </w:t>
      </w:r>
      <w:r w:rsidRPr="00D51F30">
        <w:rPr>
          <w:rStyle w:val="Strong"/>
          <w:rFonts w:cs="Arial"/>
          <w:b w:val="0"/>
        </w:rPr>
        <w:t xml:space="preserve">Proposal </w:t>
      </w:r>
      <w:r>
        <w:rPr>
          <w:rStyle w:val="Strong"/>
          <w:rFonts w:cs="Arial"/>
          <w:b w:val="0"/>
        </w:rPr>
        <w:t xml:space="preserve">files </w:t>
      </w:r>
      <w:r w:rsidRPr="000D6FBC">
        <w:rPr>
          <w:rStyle w:val="Strong"/>
          <w:rFonts w:cs="Arial"/>
          <w:u w:val="single"/>
        </w:rPr>
        <w:t>EXCLUDING</w:t>
      </w:r>
      <w:r>
        <w:rPr>
          <w:rStyle w:val="Strong"/>
          <w:rFonts w:cs="Arial"/>
          <w:u w:val="single"/>
        </w:rPr>
        <w:t xml:space="preserve"> or REDACTING</w:t>
      </w:r>
      <w:r w:rsidRPr="000D6FBC">
        <w:rPr>
          <w:rStyle w:val="Strong"/>
          <w:rFonts w:cs="Arial"/>
          <w:u w:val="single"/>
        </w:rPr>
        <w:t xml:space="preserve"> all confident</w:t>
      </w:r>
      <w:r>
        <w:rPr>
          <w:rStyle w:val="Strong"/>
          <w:rFonts w:cs="Arial"/>
          <w:u w:val="single"/>
        </w:rPr>
        <w:t>ial and proprietary information</w:t>
      </w:r>
      <w:r>
        <w:rPr>
          <w:rStyle w:val="Strong"/>
          <w:rFonts w:cs="Arial"/>
          <w:b w:val="0"/>
        </w:rPr>
        <w:t xml:space="preserve"> in the </w:t>
      </w:r>
      <w:r w:rsidRPr="000D6FBC">
        <w:rPr>
          <w:rStyle w:val="Strong"/>
          <w:rFonts w:cs="Arial"/>
          <w:b w:val="0"/>
        </w:rPr>
        <w:t>format</w:t>
      </w:r>
      <w:r>
        <w:rPr>
          <w:rStyle w:val="Strong"/>
          <w:rFonts w:cs="Arial"/>
          <w:b w:val="0"/>
        </w:rPr>
        <w:t xml:space="preserve"> of</w:t>
      </w:r>
      <w:r w:rsidRPr="00D51F30">
        <w:rPr>
          <w:rStyle w:val="Strong"/>
          <w:rFonts w:cs="Arial"/>
          <w:b w:val="0"/>
        </w:rPr>
        <w:t xml:space="preserve"> Microsoft Word/Microsof</w:t>
      </w:r>
      <w:r>
        <w:rPr>
          <w:rStyle w:val="Strong"/>
          <w:rFonts w:cs="Arial"/>
          <w:b w:val="0"/>
        </w:rPr>
        <w:t>t Excel, or Adobe Acrobat 9.</w:t>
      </w:r>
      <w:r w:rsidRPr="00D51F30">
        <w:rPr>
          <w:rStyle w:val="Strong"/>
          <w:rFonts w:cs="Arial"/>
          <w:b w:val="0"/>
        </w:rPr>
        <w:t xml:space="preserve">0 format. </w:t>
      </w:r>
      <w:r>
        <w:rPr>
          <w:rStyle w:val="Strong"/>
          <w:rFonts w:cs="Arial"/>
          <w:b w:val="0"/>
        </w:rPr>
        <w:t>This file folder must be labeled “</w:t>
      </w:r>
      <w:r w:rsidRPr="003D220D">
        <w:rPr>
          <w:rStyle w:val="Strong"/>
          <w:rFonts w:cs="Arial"/>
        </w:rPr>
        <w:t>[</w:t>
      </w:r>
      <w:r w:rsidR="00FD510B">
        <w:rPr>
          <w:rStyle w:val="Strong"/>
          <w:rFonts w:cs="Arial"/>
        </w:rPr>
        <w:t>Proposer</w:t>
      </w:r>
      <w:r w:rsidRPr="003D220D">
        <w:rPr>
          <w:rStyle w:val="Strong"/>
          <w:rFonts w:cs="Arial"/>
        </w:rPr>
        <w:t xml:space="preserve"> Name] REDACTED PROPOSAL</w:t>
      </w:r>
      <w:r>
        <w:rPr>
          <w:rStyle w:val="Strong"/>
          <w:rFonts w:cs="Arial"/>
          <w:b w:val="0"/>
        </w:rPr>
        <w:t xml:space="preserve">”. </w:t>
      </w:r>
      <w:r w:rsidRPr="000D6FBC">
        <w:rPr>
          <w:rStyle w:val="Strong"/>
          <w:rFonts w:cs="Arial"/>
          <w:b w:val="0"/>
        </w:rPr>
        <w:t xml:space="preserve">This is the file that will be submitted to requestors for open records requests. Note </w:t>
      </w:r>
      <w:r>
        <w:rPr>
          <w:rStyle w:val="Strong"/>
          <w:rFonts w:cs="Arial"/>
          <w:b w:val="0"/>
        </w:rPr>
        <w:t xml:space="preserve">that no matter what method the </w:t>
      </w:r>
      <w:r w:rsidR="00FD510B">
        <w:rPr>
          <w:rStyle w:val="Strong"/>
          <w:rFonts w:cs="Arial"/>
          <w:b w:val="0"/>
        </w:rPr>
        <w:t>Proposer</w:t>
      </w:r>
      <w:r w:rsidRPr="000D6FBC">
        <w:rPr>
          <w:rStyle w:val="Strong"/>
          <w:rFonts w:cs="Arial"/>
          <w:b w:val="0"/>
        </w:rPr>
        <w:t xml:space="preserve"> uses to redact, ETF is not responsible for checking that the redactions match the </w:t>
      </w:r>
      <w:r w:rsidR="00CB52E7">
        <w:rPr>
          <w:rStyle w:val="Strong"/>
          <w:rFonts w:cs="Arial"/>
          <w:b w:val="0"/>
        </w:rPr>
        <w:t>Proposer’s</w:t>
      </w:r>
      <w:r w:rsidRPr="000D6FBC">
        <w:rPr>
          <w:rStyle w:val="Strong"/>
          <w:rFonts w:cs="Arial"/>
          <w:b w:val="0"/>
        </w:rPr>
        <w:t xml:space="preserve"> Designation of Confidential and Proprietary Information (DOA-3027). </w:t>
      </w:r>
      <w:r w:rsidR="00F82E9F">
        <w:rPr>
          <w:rStyle w:val="Strong"/>
          <w:rFonts w:cs="Arial"/>
          <w:b w:val="0"/>
        </w:rPr>
        <w:t>Proposer</w:t>
      </w:r>
      <w:r w:rsidRPr="000D6FBC">
        <w:rPr>
          <w:rStyle w:val="Strong"/>
          <w:rFonts w:cs="Arial"/>
          <w:b w:val="0"/>
        </w:rPr>
        <w:t xml:space="preserve"> should be aware that ETF may need to electronically send the redacted materials to members of the public and o</w:t>
      </w:r>
      <w:r>
        <w:rPr>
          <w:rStyle w:val="Strong"/>
          <w:rFonts w:cs="Arial"/>
          <w:b w:val="0"/>
        </w:rPr>
        <w:t xml:space="preserve">ther </w:t>
      </w:r>
      <w:r w:rsidR="00FD510B">
        <w:rPr>
          <w:rStyle w:val="Strong"/>
          <w:rFonts w:cs="Arial"/>
          <w:b w:val="0"/>
        </w:rPr>
        <w:t>Proposer</w:t>
      </w:r>
      <w:r w:rsidRPr="000D6FBC">
        <w:rPr>
          <w:rStyle w:val="Strong"/>
          <w:rFonts w:cs="Arial"/>
          <w:b w:val="0"/>
        </w:rPr>
        <w:t xml:space="preserve">s when responding appropriately to </w:t>
      </w:r>
      <w:r w:rsidR="000E6C6A">
        <w:rPr>
          <w:rStyle w:val="Strong"/>
          <w:rFonts w:cs="Arial"/>
          <w:b w:val="0"/>
        </w:rPr>
        <w:t xml:space="preserve">open </w:t>
      </w:r>
      <w:r w:rsidRPr="000D6FBC">
        <w:rPr>
          <w:rStyle w:val="Strong"/>
          <w:rFonts w:cs="Arial"/>
          <w:b w:val="0"/>
        </w:rPr>
        <w:t xml:space="preserve">records requests. ETF is not responsible for checking that redactions, when viewed on-screen via electronic file, cannot be thwarted. ETF is not responsible for responding to </w:t>
      </w:r>
      <w:r w:rsidR="000E6C6A">
        <w:rPr>
          <w:rStyle w:val="Strong"/>
          <w:rFonts w:cs="Arial"/>
          <w:b w:val="0"/>
        </w:rPr>
        <w:t xml:space="preserve">open </w:t>
      </w:r>
      <w:r w:rsidRPr="000D6FBC">
        <w:rPr>
          <w:rStyle w:val="Strong"/>
          <w:rFonts w:cs="Arial"/>
          <w:b w:val="0"/>
        </w:rPr>
        <w:t xml:space="preserve">records requests via printed hard copy, even if redactions are only effective on printed hard </w:t>
      </w:r>
      <w:r>
        <w:rPr>
          <w:rStyle w:val="Strong"/>
          <w:rFonts w:cs="Arial"/>
          <w:b w:val="0"/>
        </w:rPr>
        <w:t>copy. ETF may post redacted Proposals</w:t>
      </w:r>
      <w:r w:rsidRPr="000D6FBC">
        <w:rPr>
          <w:rStyle w:val="Strong"/>
          <w:rFonts w:cs="Arial"/>
          <w:b w:val="0"/>
        </w:rPr>
        <w:t xml:space="preserve"> on ETF’s public website in exactly the same file format the </w:t>
      </w:r>
      <w:r w:rsidR="00FD510B">
        <w:rPr>
          <w:rStyle w:val="Strong"/>
          <w:rFonts w:cs="Arial"/>
          <w:b w:val="0"/>
        </w:rPr>
        <w:t>Proposer</w:t>
      </w:r>
      <w:r>
        <w:rPr>
          <w:rStyle w:val="Strong"/>
          <w:rFonts w:cs="Arial"/>
          <w:b w:val="0"/>
        </w:rPr>
        <w:t xml:space="preserve"> </w:t>
      </w:r>
      <w:r w:rsidRPr="000D6FBC">
        <w:rPr>
          <w:rStyle w:val="Strong"/>
          <w:rFonts w:cs="Arial"/>
          <w:b w:val="0"/>
        </w:rPr>
        <w:t xml:space="preserve">provides, and ETF is not responsible if the redacted file the </w:t>
      </w:r>
      <w:r w:rsidR="00A146AC">
        <w:rPr>
          <w:rStyle w:val="Strong"/>
          <w:rFonts w:cs="Arial"/>
          <w:b w:val="0"/>
        </w:rPr>
        <w:t>P</w:t>
      </w:r>
      <w:r w:rsidRPr="000D6FBC">
        <w:rPr>
          <w:rStyle w:val="Strong"/>
          <w:rFonts w:cs="Arial"/>
          <w:b w:val="0"/>
        </w:rPr>
        <w:t>roposer provides does not adequately protect the information when the redacted file is copied and</w:t>
      </w:r>
      <w:r>
        <w:rPr>
          <w:rStyle w:val="Strong"/>
          <w:rFonts w:cs="Arial"/>
          <w:b w:val="0"/>
        </w:rPr>
        <w:t xml:space="preserve"> pasted, uploaded, emailed, </w:t>
      </w:r>
      <w:r w:rsidRPr="000D6FBC">
        <w:rPr>
          <w:rStyle w:val="Strong"/>
          <w:rFonts w:cs="Arial"/>
          <w:b w:val="0"/>
        </w:rPr>
        <w:t>or transferred via any electronic means.</w:t>
      </w:r>
    </w:p>
    <w:p w14:paraId="5A2D028F" w14:textId="0D29E871" w:rsidR="00A56668" w:rsidRPr="00D51F30" w:rsidRDefault="00A56668" w:rsidP="00A56668">
      <w:pPr>
        <w:pStyle w:val="ListParagraph"/>
        <w:numPr>
          <w:ilvl w:val="1"/>
          <w:numId w:val="4"/>
        </w:numPr>
        <w:rPr>
          <w:rStyle w:val="Strong"/>
          <w:rFonts w:eastAsia="Times New Roman" w:cs="Arial"/>
          <w:b w:val="0"/>
          <w:caps w:val="0"/>
          <w:noProof w:val="0"/>
        </w:rPr>
      </w:pPr>
      <w:r>
        <w:rPr>
          <w:rStyle w:val="Strong"/>
          <w:rFonts w:eastAsia="Times New Roman" w:cs="Arial"/>
          <w:b w:val="0"/>
          <w:caps w:val="0"/>
          <w:noProof w:val="0"/>
        </w:rPr>
        <w:t xml:space="preserve">One (1) file folder with an </w:t>
      </w:r>
      <w:r w:rsidRPr="00D50B8B">
        <w:rPr>
          <w:rStyle w:val="Strong"/>
          <w:rFonts w:eastAsia="Times New Roman" w:cs="Arial"/>
          <w:b w:val="0"/>
          <w:caps w:val="0"/>
          <w:noProof w:val="0"/>
        </w:rPr>
        <w:t>un-locked and no</w:t>
      </w:r>
      <w:r>
        <w:rPr>
          <w:rStyle w:val="Strong"/>
          <w:rFonts w:eastAsia="Times New Roman" w:cs="Arial"/>
          <w:b w:val="0"/>
          <w:caps w:val="0"/>
          <w:noProof w:val="0"/>
        </w:rPr>
        <w:t xml:space="preserve">n-password protected </w:t>
      </w:r>
      <w:r w:rsidRPr="00D51F30">
        <w:rPr>
          <w:rStyle w:val="Strong"/>
          <w:rFonts w:eastAsia="Times New Roman" w:cs="Arial"/>
          <w:b w:val="0"/>
          <w:caps w:val="0"/>
          <w:noProof w:val="0"/>
        </w:rPr>
        <w:t xml:space="preserve">electronic file of the cost </w:t>
      </w:r>
      <w:r w:rsidR="00C54627">
        <w:rPr>
          <w:rStyle w:val="Strong"/>
          <w:rFonts w:eastAsia="Times New Roman" w:cs="Arial"/>
          <w:b w:val="0"/>
          <w:caps w:val="0"/>
          <w:noProof w:val="0"/>
        </w:rPr>
        <w:t>proposal</w:t>
      </w:r>
      <w:r w:rsidR="00C54627" w:rsidRPr="00D51F30">
        <w:rPr>
          <w:rStyle w:val="Strong"/>
          <w:rFonts w:eastAsia="Times New Roman" w:cs="Arial"/>
          <w:b w:val="0"/>
          <w:caps w:val="0"/>
          <w:noProof w:val="0"/>
        </w:rPr>
        <w:t xml:space="preserve"> </w:t>
      </w:r>
      <w:r w:rsidRPr="00D51F30">
        <w:rPr>
          <w:rStyle w:val="Strong"/>
          <w:rFonts w:eastAsia="Times New Roman" w:cs="Arial"/>
          <w:b w:val="0"/>
          <w:caps w:val="0"/>
          <w:noProof w:val="0"/>
        </w:rPr>
        <w:t>shall be saved as a separate file from the other Proposal documents labeled “</w:t>
      </w:r>
      <w:r w:rsidRPr="003D220D">
        <w:rPr>
          <w:rStyle w:val="Strong"/>
          <w:rFonts w:eastAsia="Times New Roman" w:cs="Arial"/>
          <w:caps w:val="0"/>
          <w:noProof w:val="0"/>
        </w:rPr>
        <w:t>[</w:t>
      </w:r>
      <w:r w:rsidR="00FD510B">
        <w:rPr>
          <w:rStyle w:val="Strong"/>
          <w:rFonts w:eastAsia="Times New Roman" w:cs="Arial"/>
          <w:caps w:val="0"/>
          <w:noProof w:val="0"/>
        </w:rPr>
        <w:t>Proposer</w:t>
      </w:r>
      <w:r w:rsidRPr="003D220D">
        <w:rPr>
          <w:rStyle w:val="Strong"/>
          <w:rFonts w:eastAsia="Times New Roman" w:cs="Arial"/>
          <w:caps w:val="0"/>
          <w:noProof w:val="0"/>
        </w:rPr>
        <w:t xml:space="preserve"> Name] ATTACHMENT C COST PROPOSAL</w:t>
      </w:r>
      <w:r w:rsidRPr="00D51F30">
        <w:rPr>
          <w:rStyle w:val="Strong"/>
          <w:rFonts w:eastAsia="Times New Roman" w:cs="Arial"/>
          <w:b w:val="0"/>
          <w:caps w:val="0"/>
          <w:noProof w:val="0"/>
        </w:rPr>
        <w:t>”</w:t>
      </w:r>
      <w:r>
        <w:rPr>
          <w:rStyle w:val="Strong"/>
          <w:rFonts w:eastAsia="Times New Roman" w:cs="Arial"/>
          <w:b w:val="0"/>
          <w:caps w:val="0"/>
          <w:noProof w:val="0"/>
        </w:rPr>
        <w:t>.</w:t>
      </w:r>
      <w:r w:rsidRPr="00D51F30">
        <w:rPr>
          <w:rStyle w:val="Strong"/>
          <w:rFonts w:eastAsia="Times New Roman" w:cs="Arial"/>
          <w:b w:val="0"/>
          <w:caps w:val="0"/>
          <w:noProof w:val="0"/>
        </w:rPr>
        <w:t xml:space="preserve">  </w:t>
      </w:r>
      <w:r w:rsidRPr="00734169">
        <w:rPr>
          <w:rStyle w:val="Strong"/>
          <w:rFonts w:eastAsia="Times New Roman" w:cs="Arial"/>
          <w:b w:val="0"/>
          <w:caps w:val="0"/>
          <w:noProof w:val="0"/>
        </w:rPr>
        <w:t>Please note any costs provided on the Cost Proposal cannot be redacted for confidentiality.</w:t>
      </w:r>
      <w:r w:rsidRPr="00D51F30">
        <w:rPr>
          <w:rStyle w:val="Strong"/>
          <w:rFonts w:eastAsia="Times New Roman" w:cs="Arial"/>
          <w:b w:val="0"/>
          <w:i/>
          <w:caps w:val="0"/>
          <w:noProof w:val="0"/>
        </w:rPr>
        <w:t xml:space="preserve"> </w:t>
      </w:r>
      <w:r w:rsidRPr="00D51F30">
        <w:rPr>
          <w:rStyle w:val="Strong"/>
          <w:rFonts w:eastAsia="Times New Roman" w:cs="Arial"/>
          <w:b w:val="0"/>
          <w:caps w:val="0"/>
          <w:noProof w:val="0"/>
        </w:rPr>
        <w:t xml:space="preserve"> </w:t>
      </w:r>
    </w:p>
    <w:p w14:paraId="584A89B5" w14:textId="79BF91D8" w:rsidR="00A56668" w:rsidRPr="00A56668" w:rsidRDefault="00A56668" w:rsidP="00A000BF">
      <w:pPr>
        <w:pStyle w:val="LRWLBodyTextBullet1"/>
        <w:numPr>
          <w:ilvl w:val="1"/>
          <w:numId w:val="4"/>
        </w:numPr>
        <w:rPr>
          <w:rStyle w:val="Strong"/>
          <w:rFonts w:cs="Arial"/>
          <w:b w:val="0"/>
        </w:rPr>
      </w:pPr>
      <w:r w:rsidRPr="00E10F37">
        <w:rPr>
          <w:rStyle w:val="Strong"/>
          <w:rFonts w:cs="Arial"/>
          <w:b w:val="0"/>
        </w:rPr>
        <w:t xml:space="preserve">The exterior of the </w:t>
      </w:r>
      <w:r>
        <w:rPr>
          <w:rStyle w:val="Strong"/>
          <w:rFonts w:cs="Arial"/>
          <w:b w:val="0"/>
        </w:rPr>
        <w:t>USB flash drive</w:t>
      </w:r>
      <w:r w:rsidRPr="00E10F37">
        <w:rPr>
          <w:rStyle w:val="Strong"/>
          <w:rFonts w:cs="Arial"/>
          <w:b w:val="0"/>
        </w:rPr>
        <w:t xml:space="preserve"> shall clearly be marked with the Proposer Name and </w:t>
      </w:r>
      <w:r w:rsidR="00C54627">
        <w:rPr>
          <w:rStyle w:val="Strong"/>
          <w:rFonts w:cs="Arial"/>
          <w:b w:val="0"/>
        </w:rPr>
        <w:t>the RFP n</w:t>
      </w:r>
      <w:r w:rsidRPr="00E10F37">
        <w:rPr>
          <w:rStyle w:val="Strong"/>
          <w:rFonts w:cs="Arial"/>
          <w:b w:val="0"/>
        </w:rPr>
        <w:t>umber.</w:t>
      </w:r>
    </w:p>
    <w:p w14:paraId="1BF0B461" w14:textId="1BC6E98E" w:rsidR="006456A2" w:rsidRPr="00273653" w:rsidRDefault="00FD510B" w:rsidP="006456A2">
      <w:pPr>
        <w:pStyle w:val="LRWLBodyText"/>
        <w:rPr>
          <w:rStyle w:val="Strong"/>
          <w:rFonts w:cs="Arial"/>
          <w:b w:val="0"/>
        </w:rPr>
      </w:pPr>
      <w:r>
        <w:rPr>
          <w:rStyle w:val="Strong"/>
          <w:rFonts w:cs="Arial"/>
          <w:b w:val="0"/>
        </w:rPr>
        <w:t>Proposer</w:t>
      </w:r>
      <w:r w:rsidR="006456A2" w:rsidRPr="004441DC">
        <w:rPr>
          <w:rStyle w:val="Strong"/>
          <w:rFonts w:cs="Arial"/>
          <w:b w:val="0"/>
        </w:rPr>
        <w:t xml:space="preserve">s must submit the </w:t>
      </w:r>
      <w:r w:rsidR="00B70BBB">
        <w:rPr>
          <w:rStyle w:val="Strong"/>
          <w:rFonts w:cs="Arial"/>
          <w:b w:val="0"/>
        </w:rPr>
        <w:t>P</w:t>
      </w:r>
      <w:r w:rsidR="006456A2" w:rsidRPr="004441DC">
        <w:rPr>
          <w:rStyle w:val="Strong"/>
          <w:rFonts w:cs="Arial"/>
          <w:b w:val="0"/>
        </w:rPr>
        <w:t>roposal to the address listed in Section 1.</w:t>
      </w:r>
      <w:r w:rsidR="00900153" w:rsidRPr="003860E5">
        <w:rPr>
          <w:rStyle w:val="Strong"/>
          <w:rFonts w:cs="Arial"/>
          <w:b w:val="0"/>
          <w:color w:val="000000" w:themeColor="text1"/>
        </w:rPr>
        <w:t>4</w:t>
      </w:r>
      <w:r w:rsidR="006456A2" w:rsidRPr="003860E5">
        <w:rPr>
          <w:rStyle w:val="Strong"/>
          <w:rFonts w:cs="Arial"/>
          <w:b w:val="0"/>
          <w:color w:val="000000" w:themeColor="text1"/>
        </w:rPr>
        <w:t xml:space="preserve"> </w:t>
      </w:r>
      <w:r w:rsidR="00C54627" w:rsidRPr="003860E5">
        <w:rPr>
          <w:rStyle w:val="Strong"/>
          <w:rFonts w:cs="Arial"/>
          <w:b w:val="0"/>
          <w:color w:val="000000" w:themeColor="text1"/>
        </w:rPr>
        <w:t xml:space="preserve">Procuring and Contracting Agency </w:t>
      </w:r>
      <w:r w:rsidR="006456A2" w:rsidRPr="003860E5">
        <w:rPr>
          <w:rStyle w:val="Strong"/>
          <w:rFonts w:cs="Arial"/>
          <w:b w:val="0"/>
          <w:color w:val="000000" w:themeColor="text1"/>
        </w:rPr>
        <w:t xml:space="preserve">by the </w:t>
      </w:r>
      <w:r w:rsidR="001838DA" w:rsidRPr="003860E5">
        <w:rPr>
          <w:rStyle w:val="Strong"/>
          <w:rFonts w:cs="Arial"/>
          <w:b w:val="0"/>
          <w:color w:val="000000" w:themeColor="text1"/>
        </w:rPr>
        <w:t>due date and time</w:t>
      </w:r>
      <w:r w:rsidR="00C60ABE" w:rsidRPr="003860E5">
        <w:rPr>
          <w:rStyle w:val="Strong"/>
          <w:rFonts w:cs="Arial"/>
          <w:b w:val="0"/>
          <w:color w:val="000000" w:themeColor="text1"/>
        </w:rPr>
        <w:t xml:space="preserve"> listed in Section 1.</w:t>
      </w:r>
      <w:r w:rsidR="00900153" w:rsidRPr="003860E5">
        <w:rPr>
          <w:rStyle w:val="Strong"/>
          <w:rFonts w:cs="Arial"/>
          <w:b w:val="0"/>
          <w:color w:val="000000" w:themeColor="text1"/>
        </w:rPr>
        <w:t>9</w:t>
      </w:r>
      <w:r w:rsidR="00C54627" w:rsidRPr="003860E5">
        <w:rPr>
          <w:rStyle w:val="Strong"/>
          <w:rFonts w:cs="Arial"/>
          <w:b w:val="0"/>
          <w:color w:val="000000" w:themeColor="text1"/>
        </w:rPr>
        <w:t xml:space="preserve"> Calendar of Events</w:t>
      </w:r>
      <w:r w:rsidR="00C60ABE" w:rsidRPr="003860E5">
        <w:rPr>
          <w:rStyle w:val="Strong"/>
          <w:rFonts w:cs="Arial"/>
          <w:b w:val="0"/>
          <w:color w:val="000000" w:themeColor="text1"/>
        </w:rPr>
        <w:t>.</w:t>
      </w:r>
      <w:r w:rsidR="006456A2" w:rsidRPr="003860E5">
        <w:rPr>
          <w:rStyle w:val="Strong"/>
          <w:rFonts w:cs="Arial"/>
          <w:b w:val="0"/>
          <w:color w:val="000000" w:themeColor="text1"/>
        </w:rPr>
        <w:t xml:space="preserve"> Attachment </w:t>
      </w:r>
      <w:r w:rsidR="00564C5E" w:rsidRPr="003860E5">
        <w:rPr>
          <w:rStyle w:val="Strong"/>
          <w:rFonts w:cs="Arial"/>
          <w:b w:val="0"/>
          <w:color w:val="000000" w:themeColor="text1"/>
        </w:rPr>
        <w:t>C</w:t>
      </w:r>
      <w:r w:rsidR="00A56668" w:rsidRPr="003860E5">
        <w:rPr>
          <w:rStyle w:val="Strong"/>
          <w:rFonts w:cs="Arial"/>
          <w:b w:val="0"/>
          <w:color w:val="000000" w:themeColor="text1"/>
        </w:rPr>
        <w:t xml:space="preserve"> Cost Proposal </w:t>
      </w:r>
      <w:r w:rsidR="006456A2" w:rsidRPr="003860E5">
        <w:rPr>
          <w:rStyle w:val="Strong"/>
          <w:rFonts w:cs="Arial"/>
          <w:b w:val="0"/>
          <w:color w:val="000000" w:themeColor="text1"/>
        </w:rPr>
        <w:t xml:space="preserve">shall be removed from the submission of </w:t>
      </w:r>
      <w:r w:rsidR="006456A2" w:rsidRPr="004441DC">
        <w:rPr>
          <w:rStyle w:val="Strong"/>
          <w:rFonts w:cs="Arial"/>
          <w:b w:val="0"/>
        </w:rPr>
        <w:t>the original and identical hard copies</w:t>
      </w:r>
      <w:r w:rsidR="000A6F08">
        <w:rPr>
          <w:rStyle w:val="Strong"/>
          <w:rFonts w:cs="Arial"/>
          <w:b w:val="0"/>
        </w:rPr>
        <w:t xml:space="preserve">. </w:t>
      </w:r>
      <w:r w:rsidR="006456A2" w:rsidRPr="004441DC">
        <w:rPr>
          <w:rStyle w:val="Strong"/>
          <w:rFonts w:cs="Arial"/>
          <w:b w:val="0"/>
        </w:rPr>
        <w:t>See “</w:t>
      </w:r>
      <w:r w:rsidR="006456A2" w:rsidRPr="004441DC">
        <w:rPr>
          <w:rStyle w:val="Strong"/>
          <w:rFonts w:cs="Arial"/>
        </w:rPr>
        <w:t xml:space="preserve">Specific Instructions for the Cost Proposal (Attachment </w:t>
      </w:r>
      <w:r w:rsidR="00564C5E">
        <w:rPr>
          <w:rStyle w:val="Strong"/>
          <w:rFonts w:cs="Arial"/>
        </w:rPr>
        <w:t>C</w:t>
      </w:r>
      <w:r w:rsidR="006456A2" w:rsidRPr="004441DC">
        <w:rPr>
          <w:rStyle w:val="Strong"/>
          <w:rFonts w:cs="Arial"/>
        </w:rPr>
        <w:t>)</w:t>
      </w:r>
      <w:r w:rsidR="006456A2" w:rsidRPr="004441DC">
        <w:rPr>
          <w:rStyle w:val="Strong"/>
          <w:rFonts w:cs="Arial"/>
          <w:b w:val="0"/>
        </w:rPr>
        <w:t>”</w:t>
      </w:r>
      <w:r w:rsidR="006456A2" w:rsidRPr="00273653">
        <w:rPr>
          <w:rStyle w:val="Strong"/>
          <w:rFonts w:cs="Arial"/>
          <w:b w:val="0"/>
        </w:rPr>
        <w:t xml:space="preserve"> below.</w:t>
      </w:r>
    </w:p>
    <w:p w14:paraId="7C44A07C" w14:textId="77777777" w:rsidR="006456A2" w:rsidRPr="00273653" w:rsidRDefault="006456A2" w:rsidP="006456A2">
      <w:pPr>
        <w:pStyle w:val="LRWLBodyText"/>
        <w:rPr>
          <w:rStyle w:val="Strong"/>
          <w:rFonts w:cs="Arial"/>
          <w:b w:val="0"/>
        </w:rPr>
      </w:pPr>
      <w:r w:rsidRPr="00B56EE6">
        <w:rPr>
          <w:rStyle w:val="Strong"/>
          <w:rFonts w:cs="Arial"/>
          <w:b w:val="0"/>
        </w:rPr>
        <w:t xml:space="preserve">All Proposals must be time-stamped as accepted by Employee Trust Funds by the stated time. Proposals not so stamped in by Employee Trust Funds on or prior to the stated due date and time will not be accepted and shall be considered late. Receipt of a Proposal by the State </w:t>
      </w:r>
      <w:r w:rsidR="007931FF" w:rsidRPr="00B56EE6">
        <w:rPr>
          <w:rFonts w:cs="Arial"/>
        </w:rPr>
        <w:t>of Wisconsin</w:t>
      </w:r>
      <w:r w:rsidRPr="00B56EE6">
        <w:rPr>
          <w:rStyle w:val="Strong"/>
          <w:rFonts w:cs="Arial"/>
          <w:b w:val="0"/>
        </w:rPr>
        <w:t xml:space="preserve"> mail system does not constitute receipt of a Proposal by Employee Trust Funds, for</w:t>
      </w:r>
      <w:r w:rsidRPr="00273653">
        <w:rPr>
          <w:rStyle w:val="Strong"/>
          <w:rFonts w:cs="Arial"/>
          <w:b w:val="0"/>
        </w:rPr>
        <w:t xml:space="preserve"> </w:t>
      </w:r>
      <w:r w:rsidR="002D1E83">
        <w:rPr>
          <w:rStyle w:val="Strong"/>
          <w:rFonts w:cs="Arial"/>
          <w:b w:val="0"/>
        </w:rPr>
        <w:t xml:space="preserve">the </w:t>
      </w:r>
      <w:r w:rsidRPr="00273653">
        <w:rPr>
          <w:rStyle w:val="Strong"/>
          <w:rFonts w:cs="Arial"/>
          <w:b w:val="0"/>
        </w:rPr>
        <w:t xml:space="preserve">purposes of this RFP. </w:t>
      </w:r>
    </w:p>
    <w:p w14:paraId="6FCDBE8A" w14:textId="77777777" w:rsidR="006456A2" w:rsidRPr="00A000BF" w:rsidRDefault="006456A2" w:rsidP="006456A2">
      <w:pPr>
        <w:pStyle w:val="LRWLBodyText"/>
        <w:rPr>
          <w:rFonts w:cs="Arial"/>
          <w:b/>
        </w:rPr>
      </w:pPr>
      <w:r w:rsidRPr="00A000BF">
        <w:rPr>
          <w:rFonts w:cs="Arial"/>
          <w:b/>
        </w:rPr>
        <w:lastRenderedPageBreak/>
        <w:t>Proposals submitted via fax or e</w:t>
      </w:r>
      <w:r w:rsidR="00DA5940" w:rsidRPr="00A000BF">
        <w:rPr>
          <w:rFonts w:cs="Arial"/>
          <w:b/>
        </w:rPr>
        <w:t>-</w:t>
      </w:r>
      <w:r w:rsidRPr="00A000BF">
        <w:rPr>
          <w:rFonts w:cs="Arial"/>
          <w:b/>
        </w:rPr>
        <w:t xml:space="preserve">mail will not be accepted. </w:t>
      </w:r>
    </w:p>
    <w:p w14:paraId="431399F6" w14:textId="38FAB066" w:rsidR="006456A2" w:rsidRPr="00273653" w:rsidRDefault="006456A2" w:rsidP="006456A2">
      <w:pPr>
        <w:pStyle w:val="LRWLBodyText"/>
        <w:rPr>
          <w:rFonts w:cs="Arial"/>
        </w:rPr>
      </w:pPr>
      <w:r w:rsidRPr="00273653">
        <w:rPr>
          <w:rFonts w:cs="Arial"/>
        </w:rPr>
        <w:t xml:space="preserve">The </w:t>
      </w:r>
      <w:r w:rsidR="00FD510B">
        <w:rPr>
          <w:rFonts w:cs="Arial"/>
        </w:rPr>
        <w:t>Proposer</w:t>
      </w:r>
      <w:r w:rsidRPr="00273653">
        <w:rPr>
          <w:rFonts w:cs="Arial"/>
        </w:rPr>
        <w:t xml:space="preserve">’s </w:t>
      </w:r>
      <w:r w:rsidR="00B70BBB">
        <w:rPr>
          <w:rFonts w:cs="Arial"/>
        </w:rPr>
        <w:t>P</w:t>
      </w:r>
      <w:r w:rsidRPr="00273653">
        <w:rPr>
          <w:rFonts w:cs="Arial"/>
        </w:rPr>
        <w:t>roposal must be packaged, sealed and show the following information on the outside of the package:</w:t>
      </w:r>
    </w:p>
    <w:p w14:paraId="62064683" w14:textId="77777777" w:rsidR="006456A2" w:rsidRPr="00273653" w:rsidRDefault="006456A2" w:rsidP="00370680">
      <w:pPr>
        <w:pStyle w:val="LRWLBodyTextBullet1"/>
        <w:numPr>
          <w:ilvl w:val="0"/>
          <w:numId w:val="8"/>
        </w:numPr>
        <w:rPr>
          <w:rFonts w:cs="Arial"/>
        </w:rPr>
      </w:pPr>
      <w:r w:rsidRPr="00273653">
        <w:rPr>
          <w:rFonts w:cs="Arial"/>
        </w:rPr>
        <w:t>“[Proposer's Name and Address]”</w:t>
      </w:r>
    </w:p>
    <w:p w14:paraId="25CBE8C2" w14:textId="50D345E9" w:rsidR="006456A2" w:rsidRPr="00273653" w:rsidRDefault="006456A2" w:rsidP="00370680">
      <w:pPr>
        <w:pStyle w:val="LRWLBodyTextBullet1"/>
        <w:numPr>
          <w:ilvl w:val="0"/>
          <w:numId w:val="8"/>
        </w:numPr>
        <w:rPr>
          <w:rFonts w:cs="Arial"/>
        </w:rPr>
      </w:pPr>
      <w:r w:rsidRPr="00273653">
        <w:rPr>
          <w:rFonts w:cs="Arial"/>
        </w:rPr>
        <w:t>Title:  ET</w:t>
      </w:r>
      <w:r w:rsidR="00C60ABE">
        <w:rPr>
          <w:rFonts w:cs="Arial"/>
        </w:rPr>
        <w:t>G</w:t>
      </w:r>
      <w:r w:rsidRPr="00273653">
        <w:rPr>
          <w:rFonts w:cs="Arial"/>
        </w:rPr>
        <w:t>00</w:t>
      </w:r>
      <w:r w:rsidR="00C60ABE">
        <w:rPr>
          <w:rFonts w:cs="Arial"/>
        </w:rPr>
        <w:t>05</w:t>
      </w:r>
      <w:r w:rsidRPr="00273653">
        <w:rPr>
          <w:rFonts w:cs="Arial"/>
        </w:rPr>
        <w:t xml:space="preserve"> </w:t>
      </w:r>
      <w:r w:rsidR="00C60ABE">
        <w:rPr>
          <w:rFonts w:cs="Arial"/>
        </w:rPr>
        <w:t xml:space="preserve">Wellness and Disease Management Program </w:t>
      </w:r>
      <w:r w:rsidR="00316DB9">
        <w:rPr>
          <w:rFonts w:cs="Arial"/>
        </w:rPr>
        <w:t xml:space="preserve">Administration </w:t>
      </w:r>
      <w:r w:rsidR="00971EE1">
        <w:rPr>
          <w:rFonts w:cs="Arial"/>
        </w:rPr>
        <w:t>RFP</w:t>
      </w:r>
    </w:p>
    <w:p w14:paraId="1AAD13CD" w14:textId="50D7C587" w:rsidR="006456A2" w:rsidRPr="00273653" w:rsidRDefault="006456A2" w:rsidP="00971EE1">
      <w:pPr>
        <w:pStyle w:val="LRWLBodyTextBullet1"/>
        <w:numPr>
          <w:ilvl w:val="0"/>
          <w:numId w:val="8"/>
        </w:numPr>
        <w:rPr>
          <w:rFonts w:cs="Arial"/>
        </w:rPr>
      </w:pPr>
      <w:r w:rsidRPr="00E806D0">
        <w:rPr>
          <w:rFonts w:cs="Arial"/>
        </w:rPr>
        <w:t xml:space="preserve">Proposal Due Date: </w:t>
      </w:r>
      <w:r w:rsidR="00A37D66" w:rsidRPr="0046721F">
        <w:rPr>
          <w:rFonts w:cs="Arial"/>
        </w:rPr>
        <w:t>M</w:t>
      </w:r>
      <w:r w:rsidR="006A5F95" w:rsidRPr="0046721F">
        <w:rPr>
          <w:rFonts w:cs="Arial"/>
        </w:rPr>
        <w:t>ay 27</w:t>
      </w:r>
      <w:r w:rsidR="00971EE1" w:rsidRPr="0046721F">
        <w:rPr>
          <w:rFonts w:cs="Arial"/>
        </w:rPr>
        <w:t>, 201</w:t>
      </w:r>
      <w:r w:rsidR="006A5F95" w:rsidRPr="0046721F">
        <w:rPr>
          <w:rFonts w:cs="Arial"/>
        </w:rPr>
        <w:t>6</w:t>
      </w:r>
      <w:r w:rsidR="00971EE1" w:rsidRPr="006A5F95">
        <w:rPr>
          <w:rFonts w:cs="Arial"/>
        </w:rPr>
        <w:t xml:space="preserve"> 2:</w:t>
      </w:r>
      <w:r w:rsidR="00971EE1" w:rsidRPr="00E806D0">
        <w:rPr>
          <w:rFonts w:cs="Arial"/>
        </w:rPr>
        <w:t>00</w:t>
      </w:r>
      <w:r w:rsidR="00900153">
        <w:rPr>
          <w:rFonts w:cs="Arial"/>
        </w:rPr>
        <w:t xml:space="preserve"> </w:t>
      </w:r>
      <w:r w:rsidR="003B4D22">
        <w:rPr>
          <w:rFonts w:cs="Arial"/>
        </w:rPr>
        <w:t>PM CD</w:t>
      </w:r>
      <w:r w:rsidR="00971EE1" w:rsidRPr="00E806D0">
        <w:rPr>
          <w:rFonts w:cs="Arial"/>
        </w:rPr>
        <w:t>T</w:t>
      </w:r>
      <w:r w:rsidR="00971EE1" w:rsidRPr="00971EE1">
        <w:rPr>
          <w:rFonts w:cs="Arial"/>
        </w:rPr>
        <w:t xml:space="preserve"> </w:t>
      </w:r>
    </w:p>
    <w:p w14:paraId="7CDD5139" w14:textId="58E7366E" w:rsidR="006456A2" w:rsidRPr="00273653" w:rsidRDefault="006456A2" w:rsidP="006456A2">
      <w:pPr>
        <w:pStyle w:val="LRWLBodyText"/>
        <w:rPr>
          <w:rFonts w:cs="Arial"/>
          <w:b/>
          <w:u w:val="single"/>
        </w:rPr>
      </w:pPr>
      <w:r w:rsidRPr="00273653">
        <w:rPr>
          <w:rFonts w:cs="Arial"/>
          <w:b/>
          <w:u w:val="single"/>
        </w:rPr>
        <w:t xml:space="preserve">Specific Instructions for the Cost </w:t>
      </w:r>
      <w:r w:rsidRPr="004441DC">
        <w:rPr>
          <w:rFonts w:cs="Arial"/>
          <w:b/>
          <w:u w:val="single"/>
        </w:rPr>
        <w:t xml:space="preserve">Proposal (Attachment </w:t>
      </w:r>
      <w:r w:rsidR="00564C5E">
        <w:rPr>
          <w:rFonts w:cs="Arial"/>
          <w:b/>
          <w:u w:val="single"/>
        </w:rPr>
        <w:t>C</w:t>
      </w:r>
      <w:r w:rsidRPr="004441DC">
        <w:rPr>
          <w:rFonts w:cs="Arial"/>
          <w:b/>
          <w:u w:val="single"/>
        </w:rPr>
        <w:t>)</w:t>
      </w:r>
    </w:p>
    <w:p w14:paraId="5181E8EC" w14:textId="295E3165" w:rsidR="006456A2" w:rsidRPr="00273653" w:rsidRDefault="006456A2" w:rsidP="006456A2">
      <w:pPr>
        <w:pStyle w:val="LRWLBodyText"/>
        <w:rPr>
          <w:rFonts w:cs="Arial"/>
        </w:rPr>
      </w:pPr>
      <w:r w:rsidRPr="00273653">
        <w:rPr>
          <w:rFonts w:cs="Arial"/>
        </w:rPr>
        <w:t xml:space="preserve">An original (marked as such) and one (1) hard copy of the Cost </w:t>
      </w:r>
      <w:r w:rsidR="00B70BBB">
        <w:rPr>
          <w:rFonts w:cs="Arial"/>
        </w:rPr>
        <w:t>Proposal</w:t>
      </w:r>
      <w:r w:rsidRPr="00273653">
        <w:rPr>
          <w:rFonts w:cs="Arial"/>
        </w:rPr>
        <w:t xml:space="preserve"> </w:t>
      </w:r>
      <w:r w:rsidRPr="004441DC">
        <w:rPr>
          <w:rFonts w:cs="Arial"/>
        </w:rPr>
        <w:t xml:space="preserve">Attachment </w:t>
      </w:r>
      <w:r w:rsidR="00E142D9">
        <w:rPr>
          <w:rFonts w:cs="Arial"/>
        </w:rPr>
        <w:t>C</w:t>
      </w:r>
      <w:r w:rsidRPr="00273653">
        <w:rPr>
          <w:rFonts w:cs="Arial"/>
        </w:rPr>
        <w:t xml:space="preserve"> must be sealed and submitted as a separate part of the Proposal. The </w:t>
      </w:r>
      <w:r w:rsidR="00B67B9C">
        <w:rPr>
          <w:rFonts w:cs="Arial"/>
        </w:rPr>
        <w:t>C</w:t>
      </w:r>
      <w:r w:rsidRPr="00273653">
        <w:rPr>
          <w:rFonts w:cs="Arial"/>
        </w:rPr>
        <w:t xml:space="preserve">ost </w:t>
      </w:r>
      <w:r w:rsidR="00B67B9C">
        <w:rPr>
          <w:rFonts w:cs="Arial"/>
        </w:rPr>
        <w:t>P</w:t>
      </w:r>
      <w:r w:rsidRPr="00273653">
        <w:rPr>
          <w:rFonts w:cs="Arial"/>
        </w:rPr>
        <w:t>roposal must be packaged, sealed and show the following information on the outside of the package:</w:t>
      </w:r>
    </w:p>
    <w:p w14:paraId="7FD19141" w14:textId="77777777" w:rsidR="006456A2" w:rsidRPr="00273653" w:rsidRDefault="006456A2" w:rsidP="00370680">
      <w:pPr>
        <w:pStyle w:val="LRWLBodyTextBullet1"/>
        <w:numPr>
          <w:ilvl w:val="0"/>
          <w:numId w:val="8"/>
        </w:numPr>
        <w:rPr>
          <w:rFonts w:cs="Arial"/>
        </w:rPr>
      </w:pPr>
      <w:r w:rsidRPr="00273653">
        <w:rPr>
          <w:rFonts w:cs="Arial"/>
        </w:rPr>
        <w:t>“[Proposer's Name and Address]”</w:t>
      </w:r>
    </w:p>
    <w:p w14:paraId="25BE5D8E" w14:textId="296B27A5" w:rsidR="00971EE1" w:rsidRDefault="006456A2" w:rsidP="00370680">
      <w:pPr>
        <w:pStyle w:val="LRWLBodyTextBullet1"/>
        <w:numPr>
          <w:ilvl w:val="0"/>
          <w:numId w:val="8"/>
        </w:numPr>
        <w:rPr>
          <w:rFonts w:cs="Arial"/>
        </w:rPr>
      </w:pPr>
      <w:r w:rsidRPr="00273653">
        <w:rPr>
          <w:rFonts w:cs="Arial"/>
        </w:rPr>
        <w:t>Title:  COST PROPOSAL, ET</w:t>
      </w:r>
      <w:r w:rsidR="00C60ABE">
        <w:rPr>
          <w:rFonts w:cs="Arial"/>
        </w:rPr>
        <w:t>G</w:t>
      </w:r>
      <w:r w:rsidRPr="00273653">
        <w:rPr>
          <w:rFonts w:cs="Arial"/>
        </w:rPr>
        <w:t>00</w:t>
      </w:r>
      <w:r w:rsidR="00C60ABE">
        <w:rPr>
          <w:rFonts w:cs="Arial"/>
        </w:rPr>
        <w:t>05</w:t>
      </w:r>
      <w:r w:rsidR="00A832CD" w:rsidRPr="00273653">
        <w:rPr>
          <w:rFonts w:cs="Arial"/>
        </w:rPr>
        <w:t xml:space="preserve"> </w:t>
      </w:r>
      <w:r w:rsidR="00C60ABE">
        <w:rPr>
          <w:rFonts w:cs="Arial"/>
        </w:rPr>
        <w:t xml:space="preserve">Wellness and Disease Management Program Administration </w:t>
      </w:r>
      <w:r w:rsidR="00971EE1">
        <w:rPr>
          <w:rFonts w:cs="Arial"/>
        </w:rPr>
        <w:t>RFP</w:t>
      </w:r>
    </w:p>
    <w:p w14:paraId="1317DCA4" w14:textId="201C9FBE" w:rsidR="00971EE1" w:rsidRPr="00E806D0" w:rsidRDefault="00971EE1" w:rsidP="00370680">
      <w:pPr>
        <w:pStyle w:val="LRWLBodyTextBullet1"/>
        <w:numPr>
          <w:ilvl w:val="0"/>
          <w:numId w:val="8"/>
        </w:numPr>
        <w:rPr>
          <w:rFonts w:cs="Arial"/>
        </w:rPr>
      </w:pPr>
      <w:r w:rsidRPr="00E806D0">
        <w:rPr>
          <w:rFonts w:cs="Arial"/>
        </w:rPr>
        <w:t xml:space="preserve">Proposal Due Date: </w:t>
      </w:r>
      <w:r w:rsidR="00C60ABE" w:rsidRPr="003860E5">
        <w:rPr>
          <w:rFonts w:cs="Arial"/>
        </w:rPr>
        <w:t xml:space="preserve">May </w:t>
      </w:r>
      <w:r w:rsidR="006A5F95" w:rsidRPr="003860E5">
        <w:rPr>
          <w:rFonts w:cs="Arial"/>
        </w:rPr>
        <w:t>27</w:t>
      </w:r>
      <w:r w:rsidR="00C60ABE" w:rsidRPr="003860E5">
        <w:rPr>
          <w:rFonts w:cs="Arial"/>
        </w:rPr>
        <w:t>, 2016</w:t>
      </w:r>
      <w:r w:rsidR="003860E5">
        <w:rPr>
          <w:rFonts w:cs="Arial"/>
        </w:rPr>
        <w:t>,</w:t>
      </w:r>
      <w:r w:rsidR="00C60ABE">
        <w:rPr>
          <w:rFonts w:cs="Arial"/>
          <w:b/>
        </w:rPr>
        <w:t xml:space="preserve"> </w:t>
      </w:r>
      <w:r w:rsidRPr="00E806D0">
        <w:rPr>
          <w:rFonts w:cs="Arial"/>
        </w:rPr>
        <w:t>2:00</w:t>
      </w:r>
      <w:r w:rsidR="00153DE9">
        <w:rPr>
          <w:rFonts w:cs="Arial"/>
        </w:rPr>
        <w:t xml:space="preserve"> PM</w:t>
      </w:r>
      <w:r w:rsidR="003B4D22">
        <w:rPr>
          <w:rFonts w:cs="Arial"/>
        </w:rPr>
        <w:t xml:space="preserve"> CD</w:t>
      </w:r>
      <w:r w:rsidRPr="00E806D0">
        <w:rPr>
          <w:rFonts w:cs="Arial"/>
        </w:rPr>
        <w:t>T</w:t>
      </w:r>
    </w:p>
    <w:p w14:paraId="15784112" w14:textId="77777777" w:rsidR="006456A2" w:rsidRPr="00273653" w:rsidRDefault="006456A2" w:rsidP="00644C74">
      <w:pPr>
        <w:pStyle w:val="Heading2"/>
        <w:ind w:left="720" w:hanging="720"/>
      </w:pPr>
      <w:r w:rsidRPr="00273653">
        <w:t>Proposal Organization and Format</w:t>
      </w:r>
    </w:p>
    <w:p w14:paraId="4164F993" w14:textId="299E215C" w:rsidR="006456A2" w:rsidRPr="00273653" w:rsidRDefault="006456A2" w:rsidP="006456A2">
      <w:pPr>
        <w:keepLines/>
        <w:tabs>
          <w:tab w:val="left" w:pos="720"/>
          <w:tab w:val="left" w:pos="1440"/>
          <w:tab w:val="left" w:pos="1800"/>
          <w:tab w:val="left" w:pos="2160"/>
          <w:tab w:val="left" w:pos="2880"/>
        </w:tabs>
        <w:spacing w:before="0" w:after="0"/>
        <w:ind w:hanging="720"/>
        <w:contextualSpacing/>
        <w:rPr>
          <w:rFonts w:ascii="Arial" w:hAnsi="Arial" w:cs="Arial"/>
        </w:rPr>
      </w:pPr>
      <w:r w:rsidRPr="00273653">
        <w:rPr>
          <w:rFonts w:ascii="Arial" w:hAnsi="Arial" w:cs="Arial"/>
        </w:rPr>
        <w:tab/>
        <w:t>Proposers responding to this RFP must comply with the following format requirements</w:t>
      </w:r>
      <w:r w:rsidR="000A6F08">
        <w:rPr>
          <w:rFonts w:ascii="Arial" w:hAnsi="Arial" w:cs="Arial"/>
        </w:rPr>
        <w:t xml:space="preserve">. </w:t>
      </w:r>
      <w:r w:rsidRPr="00273653">
        <w:rPr>
          <w:rFonts w:ascii="Arial" w:hAnsi="Arial" w:cs="Arial"/>
        </w:rPr>
        <w:t xml:space="preserve">ETF reserves the right to exclude any </w:t>
      </w:r>
      <w:r w:rsidR="00A56668" w:rsidRPr="00273653">
        <w:rPr>
          <w:rFonts w:ascii="Arial" w:hAnsi="Arial" w:cs="Arial"/>
        </w:rPr>
        <w:t>Proposals</w:t>
      </w:r>
      <w:r w:rsidRPr="00273653">
        <w:rPr>
          <w:rFonts w:ascii="Arial" w:hAnsi="Arial" w:cs="Arial"/>
        </w:rPr>
        <w:t xml:space="preserve"> from consideration that do not follow the required format as instructed below</w:t>
      </w:r>
      <w:r w:rsidR="000A6F08">
        <w:rPr>
          <w:rFonts w:ascii="Arial" w:hAnsi="Arial" w:cs="Arial"/>
        </w:rPr>
        <w:t xml:space="preserve">. </w:t>
      </w:r>
    </w:p>
    <w:p w14:paraId="59C7526B" w14:textId="77777777" w:rsidR="006456A2" w:rsidRPr="00273653" w:rsidRDefault="006456A2" w:rsidP="006456A2">
      <w:pPr>
        <w:keepLines/>
        <w:tabs>
          <w:tab w:val="left" w:pos="720"/>
          <w:tab w:val="left" w:pos="1440"/>
          <w:tab w:val="left" w:pos="1800"/>
          <w:tab w:val="left" w:pos="2160"/>
          <w:tab w:val="left" w:pos="2880"/>
        </w:tabs>
        <w:spacing w:before="0" w:after="0"/>
        <w:contextualSpacing/>
        <w:rPr>
          <w:rFonts w:ascii="Arial" w:hAnsi="Arial" w:cs="Arial"/>
        </w:rPr>
      </w:pPr>
    </w:p>
    <w:p w14:paraId="4EB1C0CA" w14:textId="2D2E74D5" w:rsidR="006456A2" w:rsidRPr="00273653" w:rsidRDefault="006456A2" w:rsidP="006456A2">
      <w:pPr>
        <w:keepLines/>
        <w:tabs>
          <w:tab w:val="left" w:pos="720"/>
          <w:tab w:val="left" w:pos="1440"/>
          <w:tab w:val="left" w:pos="1800"/>
          <w:tab w:val="left" w:pos="2160"/>
          <w:tab w:val="left" w:pos="2880"/>
        </w:tabs>
        <w:spacing w:before="0" w:after="0"/>
        <w:contextualSpacing/>
        <w:rPr>
          <w:rFonts w:ascii="Arial" w:hAnsi="Arial" w:cs="Arial"/>
        </w:rPr>
      </w:pPr>
      <w:r w:rsidRPr="00273653">
        <w:rPr>
          <w:rFonts w:ascii="Arial" w:hAnsi="Arial" w:cs="Arial"/>
        </w:rPr>
        <w:t>Proposals must be typed and submitted on 8.5 by 11-inch paper and bound securely</w:t>
      </w:r>
      <w:r w:rsidR="000A6F08">
        <w:rPr>
          <w:rFonts w:ascii="Arial" w:hAnsi="Arial" w:cs="Arial"/>
        </w:rPr>
        <w:t xml:space="preserve">. </w:t>
      </w:r>
    </w:p>
    <w:p w14:paraId="143DF122" w14:textId="77777777" w:rsidR="006456A2" w:rsidRPr="00273653" w:rsidRDefault="006456A2" w:rsidP="006456A2">
      <w:pPr>
        <w:keepLines/>
        <w:tabs>
          <w:tab w:val="left" w:pos="720"/>
          <w:tab w:val="left" w:pos="1440"/>
          <w:tab w:val="left" w:pos="1800"/>
          <w:tab w:val="left" w:pos="2160"/>
          <w:tab w:val="left" w:pos="2880"/>
        </w:tabs>
        <w:spacing w:before="0" w:after="0"/>
        <w:ind w:hanging="720"/>
        <w:contextualSpacing/>
        <w:rPr>
          <w:rFonts w:ascii="Arial" w:hAnsi="Arial" w:cs="Arial"/>
        </w:rPr>
      </w:pPr>
    </w:p>
    <w:p w14:paraId="27586079" w14:textId="54B0013D" w:rsidR="006456A2" w:rsidRPr="00273653" w:rsidRDefault="006456A2" w:rsidP="006456A2">
      <w:pPr>
        <w:contextualSpacing/>
        <w:rPr>
          <w:rFonts w:ascii="Arial" w:hAnsi="Arial" w:cs="Arial"/>
        </w:rPr>
      </w:pPr>
      <w:r w:rsidRPr="00273653">
        <w:rPr>
          <w:rFonts w:ascii="Arial" w:hAnsi="Arial" w:cs="Arial"/>
        </w:rPr>
        <w:t xml:space="preserve">Only provide promotional materials if they are relevant to a specific requirement of this </w:t>
      </w:r>
      <w:r w:rsidR="00014C25">
        <w:rPr>
          <w:rFonts w:ascii="Arial" w:hAnsi="Arial" w:cs="Arial"/>
        </w:rPr>
        <w:t>RFP</w:t>
      </w:r>
      <w:r w:rsidRPr="00273653">
        <w:rPr>
          <w:rFonts w:ascii="Arial" w:hAnsi="Arial" w:cs="Arial"/>
        </w:rPr>
        <w:t>. If provided, all materials must be included with the response to the relevant requirement and clearly identified as “promotional materials.”  Electronic access to such materials is preferred</w:t>
      </w:r>
      <w:r w:rsidR="00B67B9C">
        <w:rPr>
          <w:rFonts w:ascii="Arial" w:hAnsi="Arial" w:cs="Arial"/>
        </w:rPr>
        <w:t>, which includes flash drives and web links</w:t>
      </w:r>
      <w:r w:rsidR="00A56668">
        <w:rPr>
          <w:rFonts w:ascii="Arial" w:hAnsi="Arial" w:cs="Arial"/>
        </w:rPr>
        <w:t>.</w:t>
      </w:r>
      <w:r w:rsidR="00B67B9C">
        <w:rPr>
          <w:rFonts w:ascii="Arial" w:hAnsi="Arial" w:cs="Arial"/>
        </w:rPr>
        <w:t xml:space="preserve"> </w:t>
      </w:r>
    </w:p>
    <w:p w14:paraId="0479C180" w14:textId="77777777" w:rsidR="006456A2" w:rsidRPr="00273653" w:rsidRDefault="006456A2" w:rsidP="006456A2">
      <w:pPr>
        <w:contextualSpacing/>
        <w:rPr>
          <w:rFonts w:ascii="Arial" w:hAnsi="Arial" w:cs="Arial"/>
        </w:rPr>
      </w:pPr>
      <w:r w:rsidRPr="00273653">
        <w:rPr>
          <w:rFonts w:ascii="Arial" w:hAnsi="Arial" w:cs="Arial"/>
        </w:rPr>
        <w:t xml:space="preserve"> </w:t>
      </w:r>
    </w:p>
    <w:p w14:paraId="4E01002D" w14:textId="77777777" w:rsidR="006456A2" w:rsidRPr="00273653" w:rsidRDefault="006456A2" w:rsidP="006456A2">
      <w:pPr>
        <w:contextualSpacing/>
        <w:rPr>
          <w:rFonts w:ascii="Arial" w:hAnsi="Arial" w:cs="Arial"/>
          <w:b/>
        </w:rPr>
      </w:pPr>
      <w:r w:rsidRPr="00273653">
        <w:rPr>
          <w:rFonts w:ascii="Arial" w:hAnsi="Arial" w:cs="Arial"/>
          <w:b/>
        </w:rPr>
        <w:t>Proposers responding to this RFP must comply with the following format requirements:</w:t>
      </w:r>
    </w:p>
    <w:tbl>
      <w:tblPr>
        <w:tblW w:w="9365" w:type="dxa"/>
        <w:tblInd w:w="-5" w:type="dxa"/>
        <w:tblLook w:val="04A0" w:firstRow="1" w:lastRow="0" w:firstColumn="1" w:lastColumn="0" w:noHBand="0" w:noVBand="1"/>
      </w:tblPr>
      <w:tblGrid>
        <w:gridCol w:w="1562"/>
        <w:gridCol w:w="7803"/>
      </w:tblGrid>
      <w:tr w:rsidR="006456A2" w:rsidRPr="00273653" w14:paraId="46B4CC6D" w14:textId="77777777" w:rsidTr="009B7AB5">
        <w:tc>
          <w:tcPr>
            <w:tcW w:w="1562" w:type="dxa"/>
          </w:tcPr>
          <w:p w14:paraId="17708C6D" w14:textId="77777777" w:rsidR="006456A2" w:rsidRPr="00273653" w:rsidRDefault="006456A2" w:rsidP="006456A2">
            <w:pPr>
              <w:tabs>
                <w:tab w:val="num" w:pos="360"/>
              </w:tabs>
              <w:rPr>
                <w:rFonts w:ascii="Arial" w:hAnsi="Arial" w:cs="Arial"/>
              </w:rPr>
            </w:pPr>
            <w:r w:rsidRPr="00273653">
              <w:rPr>
                <w:rFonts w:ascii="Arial" w:hAnsi="Arial" w:cs="Arial"/>
              </w:rPr>
              <w:t>Front Cover</w:t>
            </w:r>
          </w:p>
        </w:tc>
        <w:tc>
          <w:tcPr>
            <w:tcW w:w="7803" w:type="dxa"/>
          </w:tcPr>
          <w:p w14:paraId="53C7EF6A" w14:textId="77777777" w:rsidR="006456A2" w:rsidRPr="00273653" w:rsidRDefault="006456A2" w:rsidP="006456A2">
            <w:pPr>
              <w:tabs>
                <w:tab w:val="num" w:pos="360"/>
              </w:tabs>
              <w:rPr>
                <w:rFonts w:ascii="Arial" w:hAnsi="Arial" w:cs="Arial"/>
              </w:rPr>
            </w:pPr>
            <w:r w:rsidRPr="00273653">
              <w:rPr>
                <w:rFonts w:ascii="Arial" w:hAnsi="Arial" w:cs="Arial"/>
              </w:rPr>
              <w:t>Include at a minimum the following information:</w:t>
            </w:r>
          </w:p>
          <w:p w14:paraId="383889BA" w14:textId="77777777" w:rsidR="006456A2" w:rsidRPr="004C480F" w:rsidRDefault="006456A2" w:rsidP="004C480F">
            <w:pPr>
              <w:pStyle w:val="LRWLBodyTextBullet1"/>
              <w:rPr>
                <w:rStyle w:val="Strong"/>
                <w:b w:val="0"/>
              </w:rPr>
            </w:pPr>
            <w:r w:rsidRPr="004C480F">
              <w:rPr>
                <w:rStyle w:val="Strong"/>
                <w:b w:val="0"/>
              </w:rPr>
              <w:t>Proposer's Business Name</w:t>
            </w:r>
          </w:p>
          <w:p w14:paraId="6C0884B3" w14:textId="77777777" w:rsidR="006456A2" w:rsidRPr="004C480F" w:rsidRDefault="006456A2" w:rsidP="004C480F">
            <w:pPr>
              <w:pStyle w:val="LRWLBodyTextBullet1"/>
              <w:rPr>
                <w:rStyle w:val="Strong"/>
                <w:b w:val="0"/>
              </w:rPr>
            </w:pPr>
            <w:r w:rsidRPr="004C480F">
              <w:rPr>
                <w:rStyle w:val="Strong"/>
                <w:b w:val="0"/>
              </w:rPr>
              <w:t xml:space="preserve">Title of the following:  </w:t>
            </w:r>
          </w:p>
          <w:p w14:paraId="1DD7C8F5" w14:textId="44C0D9A4" w:rsidR="006456A2" w:rsidRPr="007B0B4F" w:rsidRDefault="006456A2" w:rsidP="007B0B4F">
            <w:pPr>
              <w:pStyle w:val="LRWLBodyTextBullet1"/>
              <w:numPr>
                <w:ilvl w:val="0"/>
                <w:numId w:val="0"/>
              </w:numPr>
              <w:ind w:left="720"/>
              <w:rPr>
                <w:rStyle w:val="Strong"/>
                <w:b w:val="0"/>
                <w:i/>
              </w:rPr>
            </w:pPr>
            <w:r w:rsidRPr="007B0B4F">
              <w:rPr>
                <w:rStyle w:val="Strong"/>
                <w:b w:val="0"/>
                <w:i/>
              </w:rPr>
              <w:t>Proposal Response for the Wisconsin Department of Employee Trust Funds</w:t>
            </w:r>
            <w:r w:rsidR="00A37D66" w:rsidRPr="007B0B4F">
              <w:rPr>
                <w:rStyle w:val="Strong"/>
                <w:b w:val="0"/>
                <w:i/>
              </w:rPr>
              <w:t xml:space="preserve"> </w:t>
            </w:r>
            <w:r w:rsidR="00C60ABE" w:rsidRPr="007B0B4F">
              <w:rPr>
                <w:rStyle w:val="Strong"/>
                <w:b w:val="0"/>
                <w:i/>
              </w:rPr>
              <w:t>RFP ETG</w:t>
            </w:r>
            <w:r w:rsidRPr="007B0B4F">
              <w:rPr>
                <w:rStyle w:val="Strong"/>
                <w:b w:val="0"/>
                <w:i/>
              </w:rPr>
              <w:t>00</w:t>
            </w:r>
            <w:r w:rsidR="00C60ABE" w:rsidRPr="007B0B4F">
              <w:rPr>
                <w:rStyle w:val="Strong"/>
                <w:b w:val="0"/>
                <w:i/>
              </w:rPr>
              <w:t>05</w:t>
            </w:r>
            <w:r w:rsidRPr="007B0B4F">
              <w:rPr>
                <w:rStyle w:val="Strong"/>
                <w:b w:val="0"/>
                <w:i/>
              </w:rPr>
              <w:t xml:space="preserve"> </w:t>
            </w:r>
            <w:r w:rsidR="00C60ABE" w:rsidRPr="007B0B4F">
              <w:rPr>
                <w:rStyle w:val="Strong"/>
                <w:b w:val="0"/>
                <w:i/>
              </w:rPr>
              <w:t>Wellness and Disease Management Program Administration</w:t>
            </w:r>
          </w:p>
          <w:p w14:paraId="7A451147" w14:textId="77777777" w:rsidR="006456A2" w:rsidRPr="00273653" w:rsidRDefault="003C7E89" w:rsidP="004C480F">
            <w:pPr>
              <w:pStyle w:val="LRWLBodyTextBullet1"/>
              <w:rPr>
                <w:rFonts w:cs="Arial"/>
              </w:rPr>
            </w:pPr>
            <w:r w:rsidRPr="004C480F">
              <w:rPr>
                <w:rStyle w:val="Strong"/>
                <w:b w:val="0"/>
              </w:rPr>
              <w:t>Proposal Date</w:t>
            </w:r>
            <w:r w:rsidRPr="00273653">
              <w:rPr>
                <w:rFonts w:cs="Arial"/>
              </w:rPr>
              <w:t xml:space="preserve"> </w:t>
            </w:r>
          </w:p>
        </w:tc>
      </w:tr>
      <w:tr w:rsidR="006456A2" w:rsidRPr="00273653" w14:paraId="44873FFE" w14:textId="77777777" w:rsidTr="009B7AB5">
        <w:tc>
          <w:tcPr>
            <w:tcW w:w="1562" w:type="dxa"/>
          </w:tcPr>
          <w:p w14:paraId="21134059" w14:textId="77777777" w:rsidR="006456A2" w:rsidRPr="00273653" w:rsidRDefault="00D4498F" w:rsidP="006456A2">
            <w:pPr>
              <w:tabs>
                <w:tab w:val="num" w:pos="360"/>
              </w:tabs>
              <w:rPr>
                <w:rFonts w:ascii="Arial" w:hAnsi="Arial" w:cs="Arial"/>
              </w:rPr>
            </w:pPr>
            <w:r>
              <w:rPr>
                <w:rFonts w:ascii="Arial" w:hAnsi="Arial" w:cs="Arial"/>
              </w:rPr>
              <w:t>TABLE OF CONTENTS</w:t>
            </w:r>
          </w:p>
        </w:tc>
        <w:tc>
          <w:tcPr>
            <w:tcW w:w="7803" w:type="dxa"/>
          </w:tcPr>
          <w:p w14:paraId="7A986C7F" w14:textId="77777777" w:rsidR="006456A2" w:rsidRPr="00273653" w:rsidRDefault="006456A2" w:rsidP="006456A2">
            <w:pPr>
              <w:tabs>
                <w:tab w:val="num" w:pos="360"/>
              </w:tabs>
              <w:rPr>
                <w:rFonts w:ascii="Arial" w:hAnsi="Arial" w:cs="Arial"/>
              </w:rPr>
            </w:pPr>
            <w:r w:rsidRPr="00273653">
              <w:rPr>
                <w:rFonts w:ascii="Arial" w:hAnsi="Arial" w:cs="Arial"/>
              </w:rPr>
              <w:t>Provide a table of contents for the</w:t>
            </w:r>
            <w:r w:rsidR="00D4498F">
              <w:rPr>
                <w:rFonts w:ascii="Arial" w:hAnsi="Arial" w:cs="Arial"/>
              </w:rPr>
              <w:t xml:space="preserve"> Proposal.</w:t>
            </w:r>
          </w:p>
        </w:tc>
      </w:tr>
      <w:tr w:rsidR="006456A2" w:rsidRPr="00273653" w14:paraId="08854A97" w14:textId="77777777" w:rsidTr="009B7AB5">
        <w:tc>
          <w:tcPr>
            <w:tcW w:w="1562" w:type="dxa"/>
          </w:tcPr>
          <w:p w14:paraId="13AED6DB" w14:textId="77777777" w:rsidR="006456A2" w:rsidRPr="00273653" w:rsidRDefault="00D4498F" w:rsidP="006456A2">
            <w:pPr>
              <w:tabs>
                <w:tab w:val="num" w:pos="360"/>
              </w:tabs>
              <w:rPr>
                <w:rFonts w:ascii="Arial" w:hAnsi="Arial" w:cs="Arial"/>
              </w:rPr>
            </w:pPr>
            <w:r>
              <w:rPr>
                <w:rFonts w:ascii="Arial" w:hAnsi="Arial" w:cs="Arial"/>
              </w:rPr>
              <w:t>TAB 1</w:t>
            </w:r>
          </w:p>
        </w:tc>
        <w:tc>
          <w:tcPr>
            <w:tcW w:w="7803" w:type="dxa"/>
          </w:tcPr>
          <w:p w14:paraId="35755265" w14:textId="77777777" w:rsidR="006456A2" w:rsidRPr="00273653" w:rsidRDefault="006456A2" w:rsidP="006456A2">
            <w:pPr>
              <w:tabs>
                <w:tab w:val="num" w:pos="360"/>
              </w:tabs>
              <w:rPr>
                <w:rFonts w:ascii="Arial" w:hAnsi="Arial" w:cs="Arial"/>
              </w:rPr>
            </w:pPr>
            <w:r w:rsidRPr="00273653">
              <w:rPr>
                <w:rFonts w:ascii="Arial" w:hAnsi="Arial" w:cs="Arial"/>
              </w:rPr>
              <w:t>Provide the following in the following order:</w:t>
            </w:r>
          </w:p>
          <w:p w14:paraId="13ACB285" w14:textId="3EAE359A" w:rsidR="00A56668" w:rsidRPr="00273653" w:rsidRDefault="00A56668" w:rsidP="00CB52E7">
            <w:pPr>
              <w:pStyle w:val="LRWLBodyTextBullet1"/>
            </w:pPr>
            <w:r w:rsidRPr="00273653">
              <w:t xml:space="preserve">TRANSMITTAL LETTER: A signed transmittal letter must accompany the </w:t>
            </w:r>
            <w:r>
              <w:t>P</w:t>
            </w:r>
            <w:r w:rsidRPr="00273653">
              <w:t xml:space="preserve">roposal. The transmittal letter must be written on the </w:t>
            </w:r>
            <w:r w:rsidR="00FD510B">
              <w:t>Proposer</w:t>
            </w:r>
            <w:r w:rsidRPr="00273653">
              <w:t xml:space="preserve">’s </w:t>
            </w:r>
            <w:r w:rsidRPr="00273653">
              <w:lastRenderedPageBreak/>
              <w:t xml:space="preserve">official business stationery and signed by an official that is authorized to legally bind the </w:t>
            </w:r>
            <w:r w:rsidR="00FD510B">
              <w:t>Proposer</w:t>
            </w:r>
            <w:r w:rsidRPr="00273653">
              <w:t>. Include in the letter:</w:t>
            </w:r>
          </w:p>
          <w:p w14:paraId="63495BFA" w14:textId="0436AC87" w:rsidR="00A56668" w:rsidRPr="00273653" w:rsidRDefault="00A56668" w:rsidP="003D0A70">
            <w:pPr>
              <w:pStyle w:val="LRWLBodyTextBullet2"/>
              <w:numPr>
                <w:ilvl w:val="0"/>
                <w:numId w:val="69"/>
              </w:numPr>
              <w:jc w:val="left"/>
              <w:rPr>
                <w:rFonts w:cs="Arial"/>
                <w:sz w:val="22"/>
              </w:rPr>
            </w:pPr>
            <w:r w:rsidRPr="00273653">
              <w:rPr>
                <w:rFonts w:cs="Arial"/>
                <w:sz w:val="22"/>
              </w:rPr>
              <w:t xml:space="preserve">Name, signature and title of Proposer’s authorized </w:t>
            </w:r>
            <w:r w:rsidR="000E6C6A">
              <w:rPr>
                <w:rFonts w:cs="Arial"/>
                <w:sz w:val="22"/>
              </w:rPr>
              <w:t xml:space="preserve">   </w:t>
            </w:r>
            <w:r w:rsidRPr="00273653">
              <w:rPr>
                <w:rFonts w:cs="Arial"/>
                <w:sz w:val="22"/>
              </w:rPr>
              <w:t>representative</w:t>
            </w:r>
            <w:r w:rsidR="00B31E40">
              <w:rPr>
                <w:rFonts w:cs="Arial"/>
                <w:sz w:val="22"/>
              </w:rPr>
              <w:t>;</w:t>
            </w:r>
          </w:p>
          <w:p w14:paraId="105A607D" w14:textId="408562F4" w:rsidR="00A56668" w:rsidRPr="00273653" w:rsidRDefault="00A56668" w:rsidP="003D0A70">
            <w:pPr>
              <w:pStyle w:val="LRWLBodyTextBullet2"/>
              <w:numPr>
                <w:ilvl w:val="0"/>
                <w:numId w:val="69"/>
              </w:numPr>
              <w:jc w:val="left"/>
              <w:rPr>
                <w:rFonts w:cs="Arial"/>
                <w:sz w:val="22"/>
              </w:rPr>
            </w:pPr>
            <w:r w:rsidRPr="00273653">
              <w:rPr>
                <w:rFonts w:cs="Arial"/>
                <w:sz w:val="22"/>
              </w:rPr>
              <w:t>Name and address of firm</w:t>
            </w:r>
            <w:r w:rsidR="00B31E40">
              <w:rPr>
                <w:rFonts w:cs="Arial"/>
                <w:sz w:val="22"/>
              </w:rPr>
              <w:t>;</w:t>
            </w:r>
          </w:p>
          <w:p w14:paraId="763446A4" w14:textId="0EAC9959" w:rsidR="00A56668" w:rsidRPr="00273653" w:rsidRDefault="007B0B4F" w:rsidP="003D0A70">
            <w:pPr>
              <w:pStyle w:val="LRWLBodyTextBullet2"/>
              <w:numPr>
                <w:ilvl w:val="0"/>
                <w:numId w:val="69"/>
              </w:numPr>
              <w:jc w:val="left"/>
              <w:rPr>
                <w:rFonts w:cs="Arial"/>
                <w:sz w:val="22"/>
              </w:rPr>
            </w:pPr>
            <w:r>
              <w:rPr>
                <w:rFonts w:cs="Arial"/>
                <w:sz w:val="22"/>
              </w:rPr>
              <w:t>Telephone number</w:t>
            </w:r>
            <w:r w:rsidR="00A56668" w:rsidRPr="00273653">
              <w:rPr>
                <w:rFonts w:cs="Arial"/>
                <w:sz w:val="22"/>
              </w:rPr>
              <w:t xml:space="preserve">, and e-mail address of representatives who will be providing </w:t>
            </w:r>
            <w:r w:rsidR="00A56668">
              <w:rPr>
                <w:rFonts w:cs="Arial"/>
                <w:sz w:val="22"/>
              </w:rPr>
              <w:t>S</w:t>
            </w:r>
            <w:r w:rsidR="00A56668" w:rsidRPr="00273653">
              <w:rPr>
                <w:rFonts w:cs="Arial"/>
                <w:sz w:val="22"/>
              </w:rPr>
              <w:t>ervices under this RFP</w:t>
            </w:r>
            <w:r w:rsidR="00B31E40">
              <w:rPr>
                <w:rFonts w:cs="Arial"/>
                <w:sz w:val="22"/>
              </w:rPr>
              <w:t>;</w:t>
            </w:r>
          </w:p>
          <w:p w14:paraId="4E86FA5D" w14:textId="0E8393B9" w:rsidR="00A56668" w:rsidRDefault="00A56668" w:rsidP="003D0A70">
            <w:pPr>
              <w:pStyle w:val="LRWLBodyTextBullet2"/>
              <w:numPr>
                <w:ilvl w:val="0"/>
                <w:numId w:val="69"/>
              </w:numPr>
              <w:jc w:val="left"/>
              <w:rPr>
                <w:rFonts w:cs="Arial"/>
                <w:sz w:val="22"/>
              </w:rPr>
            </w:pPr>
            <w:r w:rsidRPr="00273653">
              <w:rPr>
                <w:rFonts w:cs="Arial"/>
                <w:sz w:val="22"/>
              </w:rPr>
              <w:t xml:space="preserve">RFP number and title: </w:t>
            </w:r>
            <w:r w:rsidRPr="003D0A70">
              <w:rPr>
                <w:rFonts w:cs="Arial"/>
                <w:sz w:val="22"/>
              </w:rPr>
              <w:t>ETG0005 Third</w:t>
            </w:r>
            <w:r w:rsidRPr="00F76436">
              <w:rPr>
                <w:rFonts w:cs="Arial"/>
                <w:sz w:val="22"/>
              </w:rPr>
              <w:t xml:space="preserve"> Party Administration of Wellness and Disease Management Programs</w:t>
            </w:r>
            <w:r>
              <w:rPr>
                <w:rFonts w:cs="Arial"/>
                <w:sz w:val="22"/>
              </w:rPr>
              <w:t xml:space="preserve"> RFP</w:t>
            </w:r>
            <w:r w:rsidR="00B31E40">
              <w:rPr>
                <w:rFonts w:cs="Arial"/>
                <w:sz w:val="22"/>
              </w:rPr>
              <w:t>; and</w:t>
            </w:r>
          </w:p>
          <w:p w14:paraId="2B3F9422" w14:textId="68C6D002" w:rsidR="00A56668" w:rsidRPr="00273653" w:rsidRDefault="00A56668" w:rsidP="003D0A70">
            <w:pPr>
              <w:pStyle w:val="LRWLBodyTextBullet2"/>
              <w:numPr>
                <w:ilvl w:val="0"/>
                <w:numId w:val="69"/>
              </w:numPr>
              <w:rPr>
                <w:rFonts w:cs="Arial"/>
                <w:sz w:val="22"/>
              </w:rPr>
            </w:pPr>
            <w:r w:rsidRPr="00273653">
              <w:rPr>
                <w:rFonts w:cs="Arial"/>
                <w:sz w:val="22"/>
              </w:rPr>
              <w:t xml:space="preserve">Executive Summary. </w:t>
            </w:r>
          </w:p>
          <w:p w14:paraId="7BE472ED" w14:textId="77777777" w:rsidR="00CD590B" w:rsidRPr="00EC243F" w:rsidRDefault="00CD590B" w:rsidP="00CD590B">
            <w:pPr>
              <w:pStyle w:val="LRWLBodyTextBullet1"/>
              <w:rPr>
                <w:rFonts w:eastAsia="Calibri"/>
              </w:rPr>
            </w:pPr>
            <w:r>
              <w:rPr>
                <w:rFonts w:eastAsia="Calibri"/>
              </w:rPr>
              <w:t xml:space="preserve">Attachment A – </w:t>
            </w:r>
            <w:r w:rsidRPr="00EC243F">
              <w:rPr>
                <w:rFonts w:eastAsia="Calibri"/>
              </w:rPr>
              <w:t>Proposer Checklist</w:t>
            </w:r>
          </w:p>
          <w:p w14:paraId="0619DAAC" w14:textId="77777777" w:rsidR="00CD590B" w:rsidRPr="003434C9" w:rsidRDefault="00CD590B" w:rsidP="00CD590B">
            <w:pPr>
              <w:pStyle w:val="LRWLBodyTextBullet1"/>
              <w:rPr>
                <w:rFonts w:eastAsia="Calibri"/>
              </w:rPr>
            </w:pPr>
            <w:r>
              <w:rPr>
                <w:rFonts w:eastAsia="Calibri"/>
              </w:rPr>
              <w:t xml:space="preserve">Attachment B – </w:t>
            </w:r>
            <w:r w:rsidRPr="003434C9">
              <w:rPr>
                <w:rFonts w:eastAsia="Calibri"/>
              </w:rPr>
              <w:t xml:space="preserve">Mandatory </w:t>
            </w:r>
            <w:r>
              <w:rPr>
                <w:rFonts w:eastAsia="Calibri"/>
              </w:rPr>
              <w:t>Proposer</w:t>
            </w:r>
            <w:r w:rsidRPr="003434C9">
              <w:rPr>
                <w:rFonts w:eastAsia="Calibri"/>
              </w:rPr>
              <w:t xml:space="preserve"> Qualifications</w:t>
            </w:r>
          </w:p>
          <w:p w14:paraId="4A7E5FDF" w14:textId="77777777" w:rsidR="00CD590B" w:rsidRPr="003434C9" w:rsidRDefault="00CD590B" w:rsidP="00CD590B">
            <w:pPr>
              <w:pStyle w:val="LRWLBodyTextBullet1"/>
              <w:rPr>
                <w:rFonts w:eastAsia="Calibri"/>
              </w:rPr>
            </w:pPr>
            <w:r>
              <w:rPr>
                <w:rFonts w:eastAsia="Calibri"/>
              </w:rPr>
              <w:t xml:space="preserve">Attachment E – </w:t>
            </w:r>
            <w:r w:rsidRPr="003434C9">
              <w:rPr>
                <w:rFonts w:eastAsia="Calibri"/>
              </w:rPr>
              <w:t>Subcontractor</w:t>
            </w:r>
            <w:r>
              <w:rPr>
                <w:rFonts w:eastAsia="Calibri"/>
              </w:rPr>
              <w:t xml:space="preserve"> Information</w:t>
            </w:r>
          </w:p>
          <w:p w14:paraId="6D30BC16" w14:textId="77777777" w:rsidR="00CD590B" w:rsidRDefault="00CD590B" w:rsidP="00CD590B">
            <w:pPr>
              <w:pStyle w:val="LRWLBodyTextBullet1"/>
              <w:rPr>
                <w:rFonts w:eastAsia="Calibri"/>
              </w:rPr>
            </w:pPr>
            <w:r>
              <w:rPr>
                <w:rFonts w:eastAsia="Calibri"/>
              </w:rPr>
              <w:t xml:space="preserve">Attachment F – </w:t>
            </w:r>
            <w:r w:rsidRPr="003434C9">
              <w:rPr>
                <w:rFonts w:eastAsia="Calibri"/>
              </w:rPr>
              <w:t xml:space="preserve">DOA-3027 Designation of Confidential and Proprietary Information </w:t>
            </w:r>
          </w:p>
          <w:p w14:paraId="01AC7C2D" w14:textId="77777777" w:rsidR="00CD590B" w:rsidRDefault="00CD590B" w:rsidP="00CD590B">
            <w:pPr>
              <w:pStyle w:val="LRWLBodyTextBullet1"/>
              <w:rPr>
                <w:rFonts w:eastAsia="Calibri"/>
              </w:rPr>
            </w:pPr>
            <w:r>
              <w:rPr>
                <w:rFonts w:eastAsia="Calibri"/>
              </w:rPr>
              <w:t xml:space="preserve">Attachment G – </w:t>
            </w:r>
            <w:r w:rsidRPr="003434C9">
              <w:rPr>
                <w:rFonts w:eastAsia="Calibri"/>
              </w:rPr>
              <w:t>DOA-3261 Request for Proposal</w:t>
            </w:r>
          </w:p>
          <w:p w14:paraId="51247847" w14:textId="77777777" w:rsidR="00CD590B" w:rsidRDefault="00CD590B" w:rsidP="00CD590B">
            <w:pPr>
              <w:pStyle w:val="LRWLBodyTextBullet1"/>
              <w:rPr>
                <w:rFonts w:eastAsia="Calibri"/>
              </w:rPr>
            </w:pPr>
            <w:r>
              <w:rPr>
                <w:rFonts w:eastAsia="Calibri"/>
              </w:rPr>
              <w:t xml:space="preserve">Attachment H – </w:t>
            </w:r>
            <w:r w:rsidRPr="003434C9">
              <w:rPr>
                <w:rFonts w:eastAsia="Calibri"/>
              </w:rPr>
              <w:t>DOA-3477 Vendor Information</w:t>
            </w:r>
          </w:p>
          <w:p w14:paraId="7F2722E5" w14:textId="77777777" w:rsidR="00CD590B" w:rsidRDefault="00CD590B" w:rsidP="00CD590B">
            <w:pPr>
              <w:pStyle w:val="LRWLBodyTextBullet1"/>
              <w:rPr>
                <w:rFonts w:eastAsia="Calibri"/>
              </w:rPr>
            </w:pPr>
            <w:r>
              <w:rPr>
                <w:rFonts w:eastAsia="Calibri"/>
              </w:rPr>
              <w:t xml:space="preserve">Attachment I – </w:t>
            </w:r>
            <w:r w:rsidRPr="003434C9">
              <w:rPr>
                <w:rFonts w:eastAsia="Calibri"/>
              </w:rPr>
              <w:t>DOA-3478 Vendor References</w:t>
            </w:r>
          </w:p>
          <w:p w14:paraId="55CF3085" w14:textId="278AD189" w:rsidR="006456A2" w:rsidRPr="00CD590B" w:rsidRDefault="00CD590B" w:rsidP="00CD590B">
            <w:pPr>
              <w:pStyle w:val="LRWLBodyTextBullet1"/>
              <w:rPr>
                <w:rFonts w:eastAsia="Calibri"/>
              </w:rPr>
            </w:pPr>
            <w:r w:rsidRPr="003434C9">
              <w:rPr>
                <w:rFonts w:eastAsia="Calibri"/>
              </w:rPr>
              <w:t xml:space="preserve">Current Form W-9 Request for Taxpayer Identification Number and Certification (from the Department of the Treasury, Internal Revenue Service: </w:t>
            </w:r>
            <w:hyperlink r:id="rId24" w:history="1">
              <w:r w:rsidRPr="00D14777">
                <w:rPr>
                  <w:rStyle w:val="Hyperlink"/>
                  <w:rFonts w:eastAsia="Calibri" w:cs="Arial"/>
                </w:rPr>
                <w:t>https://www.irs.gov/pub/irs-pdf/fw9.pdf</w:t>
              </w:r>
            </w:hyperlink>
            <w:r w:rsidRPr="003434C9">
              <w:rPr>
                <w:rFonts w:eastAsia="Calibri"/>
              </w:rPr>
              <w:t>)</w:t>
            </w:r>
          </w:p>
        </w:tc>
      </w:tr>
      <w:tr w:rsidR="006456A2" w:rsidRPr="00273653" w14:paraId="664113FF" w14:textId="77777777" w:rsidTr="009B7AB5">
        <w:tc>
          <w:tcPr>
            <w:tcW w:w="1562" w:type="dxa"/>
          </w:tcPr>
          <w:p w14:paraId="7C8B4863" w14:textId="77777777" w:rsidR="006456A2" w:rsidRPr="00273653" w:rsidRDefault="00D4498F" w:rsidP="006456A2">
            <w:pPr>
              <w:tabs>
                <w:tab w:val="num" w:pos="360"/>
              </w:tabs>
              <w:rPr>
                <w:rFonts w:ascii="Arial" w:hAnsi="Arial" w:cs="Arial"/>
              </w:rPr>
            </w:pPr>
            <w:r>
              <w:rPr>
                <w:rFonts w:ascii="Arial" w:hAnsi="Arial" w:cs="Arial"/>
              </w:rPr>
              <w:lastRenderedPageBreak/>
              <w:t>TAB 2</w:t>
            </w:r>
          </w:p>
        </w:tc>
        <w:tc>
          <w:tcPr>
            <w:tcW w:w="7803" w:type="dxa"/>
          </w:tcPr>
          <w:p w14:paraId="4A028329" w14:textId="77777777" w:rsidR="00A56668" w:rsidRDefault="00A56668" w:rsidP="00A56668">
            <w:pPr>
              <w:tabs>
                <w:tab w:val="num" w:pos="360"/>
              </w:tabs>
              <w:rPr>
                <w:rFonts w:ascii="Arial" w:hAnsi="Arial" w:cs="Arial"/>
              </w:rPr>
            </w:pPr>
            <w:r w:rsidRPr="00273653">
              <w:rPr>
                <w:rFonts w:ascii="Arial" w:hAnsi="Arial" w:cs="Arial"/>
              </w:rPr>
              <w:t>Response to Section</w:t>
            </w:r>
            <w:r>
              <w:rPr>
                <w:rFonts w:ascii="Arial" w:hAnsi="Arial" w:cs="Arial"/>
              </w:rPr>
              <w:t>s</w:t>
            </w:r>
            <w:r w:rsidRPr="00273653">
              <w:rPr>
                <w:rFonts w:ascii="Arial" w:hAnsi="Arial" w:cs="Arial"/>
              </w:rPr>
              <w:t xml:space="preserve"> </w:t>
            </w:r>
            <w:r>
              <w:rPr>
                <w:rFonts w:ascii="Arial" w:hAnsi="Arial" w:cs="Arial"/>
              </w:rPr>
              <w:t>6 (GENERAL QUESTIONNARE) and 7 (THIRD PARTY ADMINISTRATIVE SERVICES QUESTIONNAIRE)</w:t>
            </w:r>
          </w:p>
          <w:p w14:paraId="68F3A656" w14:textId="77777777" w:rsidR="001730B0" w:rsidRPr="00273653" w:rsidRDefault="001730B0" w:rsidP="006E32D3">
            <w:pPr>
              <w:tabs>
                <w:tab w:val="num" w:pos="360"/>
              </w:tabs>
              <w:rPr>
                <w:rFonts w:ascii="Arial" w:hAnsi="Arial" w:cs="Arial"/>
              </w:rPr>
            </w:pPr>
            <w:r w:rsidRPr="001730B0">
              <w:rPr>
                <w:rFonts w:ascii="Arial" w:hAnsi="Arial" w:cs="Arial"/>
              </w:rPr>
              <w:t>Provide a point-by</w:t>
            </w:r>
            <w:r w:rsidRPr="006A5F95">
              <w:rPr>
                <w:rFonts w:ascii="Arial" w:hAnsi="Arial" w:cs="Arial"/>
              </w:rPr>
              <w:t xml:space="preserve">-point response to each and every statement in Section </w:t>
            </w:r>
            <w:r w:rsidRPr="0046721F">
              <w:rPr>
                <w:rFonts w:ascii="Arial" w:hAnsi="Arial" w:cs="Arial"/>
              </w:rPr>
              <w:t>6</w:t>
            </w:r>
            <w:r w:rsidRPr="006A5F95">
              <w:rPr>
                <w:rFonts w:ascii="Arial" w:hAnsi="Arial" w:cs="Arial"/>
              </w:rPr>
              <w:t xml:space="preserve"> and Section </w:t>
            </w:r>
            <w:r w:rsidRPr="0046721F">
              <w:rPr>
                <w:rFonts w:ascii="Arial" w:hAnsi="Arial" w:cs="Arial"/>
              </w:rPr>
              <w:t>7</w:t>
            </w:r>
            <w:r w:rsidRPr="006A5F95">
              <w:rPr>
                <w:rFonts w:ascii="Arial" w:hAnsi="Arial" w:cs="Arial"/>
              </w:rPr>
              <w:t>. The</w:t>
            </w:r>
            <w:r w:rsidRPr="001730B0">
              <w:rPr>
                <w:rFonts w:ascii="Arial" w:hAnsi="Arial" w:cs="Arial"/>
              </w:rPr>
              <w:t xml:space="preserve"> response must follow the same numbering system, use the same headings, and address each point or sub-point. </w:t>
            </w:r>
          </w:p>
        </w:tc>
      </w:tr>
      <w:tr w:rsidR="006456A2" w:rsidRPr="00273653" w14:paraId="35BC7FAD" w14:textId="77777777" w:rsidTr="009B7AB5">
        <w:tc>
          <w:tcPr>
            <w:tcW w:w="1562" w:type="dxa"/>
          </w:tcPr>
          <w:p w14:paraId="69A906E9" w14:textId="77777777" w:rsidR="006456A2" w:rsidRPr="00273653" w:rsidRDefault="006456A2" w:rsidP="006456A2">
            <w:pPr>
              <w:tabs>
                <w:tab w:val="num" w:pos="360"/>
              </w:tabs>
              <w:rPr>
                <w:rFonts w:ascii="Arial" w:hAnsi="Arial" w:cs="Arial"/>
              </w:rPr>
            </w:pPr>
            <w:r w:rsidRPr="00273653">
              <w:rPr>
                <w:rFonts w:ascii="Arial" w:hAnsi="Arial" w:cs="Arial"/>
              </w:rPr>
              <w:t xml:space="preserve">TAB </w:t>
            </w:r>
            <w:r w:rsidR="00D4498F">
              <w:rPr>
                <w:rFonts w:ascii="Arial" w:hAnsi="Arial" w:cs="Arial"/>
              </w:rPr>
              <w:t>3</w:t>
            </w:r>
          </w:p>
        </w:tc>
        <w:tc>
          <w:tcPr>
            <w:tcW w:w="7803" w:type="dxa"/>
          </w:tcPr>
          <w:p w14:paraId="756A0BC8" w14:textId="0052FF0E" w:rsidR="006A5F95" w:rsidRDefault="006A5F95" w:rsidP="00BF1EF8">
            <w:pPr>
              <w:tabs>
                <w:tab w:val="num" w:pos="360"/>
              </w:tabs>
              <w:rPr>
                <w:rFonts w:ascii="Arial" w:hAnsi="Arial" w:cs="Arial"/>
              </w:rPr>
            </w:pPr>
            <w:r>
              <w:rPr>
                <w:rFonts w:ascii="Arial" w:hAnsi="Arial" w:cs="Arial"/>
              </w:rPr>
              <w:t>Assumptions and Exceptions</w:t>
            </w:r>
          </w:p>
          <w:p w14:paraId="18E1ECE7" w14:textId="2A4ED234" w:rsidR="009D45F2" w:rsidRDefault="00014C25" w:rsidP="00A56668">
            <w:pPr>
              <w:tabs>
                <w:tab w:val="num" w:pos="360"/>
              </w:tabs>
              <w:rPr>
                <w:rFonts w:ascii="Arial" w:hAnsi="Arial" w:cs="Arial"/>
              </w:rPr>
            </w:pPr>
            <w:r>
              <w:rPr>
                <w:rFonts w:ascii="Arial" w:hAnsi="Arial" w:cs="Arial"/>
              </w:rPr>
              <w:t>All assumptions and exceptions must be included in this tab</w:t>
            </w:r>
            <w:r w:rsidR="00A56668" w:rsidRPr="00273653">
              <w:rPr>
                <w:rFonts w:ascii="Arial" w:hAnsi="Arial" w:cs="Arial"/>
              </w:rPr>
              <w:t xml:space="preserve">. </w:t>
            </w:r>
            <w:r w:rsidR="00A56668" w:rsidRPr="00E109CD">
              <w:rPr>
                <w:rFonts w:ascii="Arial" w:hAnsi="Arial" w:cs="Arial"/>
                <w:b/>
              </w:rPr>
              <w:t xml:space="preserve">Any assumption or exception made </w:t>
            </w:r>
            <w:r>
              <w:rPr>
                <w:rFonts w:ascii="Arial" w:hAnsi="Arial" w:cs="Arial"/>
                <w:b/>
              </w:rPr>
              <w:t xml:space="preserve">by </w:t>
            </w:r>
            <w:r w:rsidR="003860E5">
              <w:rPr>
                <w:rFonts w:ascii="Arial" w:hAnsi="Arial" w:cs="Arial"/>
                <w:b/>
              </w:rPr>
              <w:t xml:space="preserve">the </w:t>
            </w:r>
            <w:r w:rsidR="00FD510B">
              <w:rPr>
                <w:rFonts w:ascii="Arial" w:hAnsi="Arial" w:cs="Arial"/>
                <w:b/>
              </w:rPr>
              <w:t>Proposer</w:t>
            </w:r>
            <w:r>
              <w:rPr>
                <w:rFonts w:ascii="Arial" w:hAnsi="Arial" w:cs="Arial"/>
                <w:b/>
              </w:rPr>
              <w:t xml:space="preserve"> </w:t>
            </w:r>
            <w:r w:rsidR="00A56668" w:rsidRPr="00E109CD">
              <w:rPr>
                <w:rFonts w:ascii="Arial" w:hAnsi="Arial" w:cs="Arial"/>
                <w:b/>
              </w:rPr>
              <w:t>but not included in this tab will be invalid.</w:t>
            </w:r>
            <w:r w:rsidR="00A56668" w:rsidRPr="00273653">
              <w:rPr>
                <w:rFonts w:ascii="Arial" w:hAnsi="Arial" w:cs="Arial"/>
              </w:rPr>
              <w:t xml:space="preserve"> </w:t>
            </w:r>
          </w:p>
          <w:p w14:paraId="6A74E769" w14:textId="1BF92725" w:rsidR="009D45F2" w:rsidRPr="006D249B" w:rsidRDefault="009D45F2" w:rsidP="00F01E1A">
            <w:pPr>
              <w:pStyle w:val="LRWLBodyTextBullet1"/>
              <w:numPr>
                <w:ilvl w:val="0"/>
                <w:numId w:val="53"/>
              </w:numPr>
              <w:rPr>
                <w:b/>
                <w:u w:val="single"/>
              </w:rPr>
            </w:pPr>
            <w:r w:rsidRPr="006D249B">
              <w:rPr>
                <w:b/>
                <w:u w:val="single"/>
              </w:rPr>
              <w:t>Assumptions or Exceptions</w:t>
            </w:r>
            <w:r w:rsidR="00911E1F">
              <w:rPr>
                <w:b/>
                <w:u w:val="single"/>
              </w:rPr>
              <w:t xml:space="preserve"> to this RFP</w:t>
            </w:r>
          </w:p>
          <w:p w14:paraId="7B49832E" w14:textId="1A69507E" w:rsidR="00911E1F" w:rsidRDefault="00A56668" w:rsidP="00911E1F">
            <w:pPr>
              <w:pStyle w:val="LRWLBodyTextBullet1"/>
              <w:numPr>
                <w:ilvl w:val="0"/>
                <w:numId w:val="0"/>
              </w:numPr>
              <w:ind w:left="765"/>
            </w:pPr>
            <w:r w:rsidRPr="00273653">
              <w:t xml:space="preserve">Exceptions to the </w:t>
            </w:r>
            <w:r>
              <w:t>C</w:t>
            </w:r>
            <w:r w:rsidRPr="00273653">
              <w:t xml:space="preserve">ontract </w:t>
            </w:r>
            <w:r w:rsidR="006D249B">
              <w:t>T</w:t>
            </w:r>
            <w:r w:rsidRPr="00273653">
              <w:t xml:space="preserve">erms and </w:t>
            </w:r>
            <w:r w:rsidR="006D249B">
              <w:t>C</w:t>
            </w:r>
            <w:r w:rsidRPr="00273653">
              <w:t xml:space="preserve">onditions may be considered during </w:t>
            </w:r>
            <w:r w:rsidR="00014C25">
              <w:t>C</w:t>
            </w:r>
            <w:r w:rsidRPr="00273653">
              <w:t xml:space="preserve">ontract negotiations if it is beneficial to </w:t>
            </w:r>
            <w:r w:rsidR="00014C25">
              <w:t>ETF</w:t>
            </w:r>
            <w:r w:rsidRPr="00273653">
              <w:t xml:space="preserve">. </w:t>
            </w:r>
            <w:r w:rsidRPr="00E109CD">
              <w:rPr>
                <w:b/>
              </w:rPr>
              <w:t xml:space="preserve">If </w:t>
            </w:r>
            <w:r w:rsidR="00014C25">
              <w:rPr>
                <w:b/>
              </w:rPr>
              <w:t xml:space="preserve">Proposer does not provide </w:t>
            </w:r>
            <w:r w:rsidR="000E6C6A">
              <w:rPr>
                <w:b/>
              </w:rPr>
              <w:t>assumptions or exceptions</w:t>
            </w:r>
            <w:r w:rsidR="00014C25">
              <w:rPr>
                <w:b/>
              </w:rPr>
              <w:t xml:space="preserve"> in this tab</w:t>
            </w:r>
            <w:r w:rsidRPr="00E109CD">
              <w:rPr>
                <w:b/>
              </w:rPr>
              <w:t xml:space="preserve"> to the </w:t>
            </w:r>
            <w:r w:rsidR="00014C25">
              <w:rPr>
                <w:b/>
              </w:rPr>
              <w:t>terms and conditions specified in Section 9 Contract</w:t>
            </w:r>
            <w:r w:rsidR="00153AB7">
              <w:rPr>
                <w:b/>
              </w:rPr>
              <w:t xml:space="preserve"> </w:t>
            </w:r>
            <w:r w:rsidR="00014C25">
              <w:rPr>
                <w:b/>
              </w:rPr>
              <w:t>Terms and Conditions,</w:t>
            </w:r>
            <w:r w:rsidRPr="00E109CD">
              <w:rPr>
                <w:b/>
              </w:rPr>
              <w:t xml:space="preserve"> </w:t>
            </w:r>
            <w:r w:rsidR="00FD510B">
              <w:rPr>
                <w:b/>
              </w:rPr>
              <w:t>Proposer</w:t>
            </w:r>
            <w:r w:rsidR="00014C25">
              <w:rPr>
                <w:b/>
              </w:rPr>
              <w:t xml:space="preserve">’s </w:t>
            </w:r>
            <w:r w:rsidR="000E6C6A">
              <w:rPr>
                <w:b/>
              </w:rPr>
              <w:t>assumptions or exceptions</w:t>
            </w:r>
            <w:r w:rsidR="00014C25" w:rsidRPr="00E109CD">
              <w:rPr>
                <w:b/>
              </w:rPr>
              <w:t xml:space="preserve"> </w:t>
            </w:r>
            <w:r w:rsidRPr="00E109CD">
              <w:rPr>
                <w:b/>
              </w:rPr>
              <w:t xml:space="preserve">may not be discussed or considered during </w:t>
            </w:r>
            <w:r w:rsidR="00014C25">
              <w:rPr>
                <w:b/>
              </w:rPr>
              <w:t>C</w:t>
            </w:r>
            <w:r w:rsidRPr="00E109CD">
              <w:rPr>
                <w:b/>
              </w:rPr>
              <w:t xml:space="preserve">ontract negotiations. </w:t>
            </w:r>
            <w:r w:rsidR="00881E2F" w:rsidRPr="00013114">
              <w:rPr>
                <w:b/>
                <w:u w:val="single"/>
              </w:rPr>
              <w:t xml:space="preserve">ETF will not accept Proposer’s standard </w:t>
            </w:r>
            <w:r w:rsidR="00911E1F">
              <w:rPr>
                <w:b/>
                <w:u w:val="single"/>
              </w:rPr>
              <w:t>contract or agreement in lieu of assumptions or exceptions</w:t>
            </w:r>
            <w:r w:rsidR="00881E2F" w:rsidRPr="006D249B">
              <w:rPr>
                <w:b/>
              </w:rPr>
              <w:t>.</w:t>
            </w:r>
            <w:r w:rsidR="005A77B9" w:rsidRPr="006D249B">
              <w:t xml:space="preserve"> </w:t>
            </w:r>
            <w:r w:rsidR="005A77B9">
              <w:rPr>
                <w:rFonts w:cs="Arial"/>
              </w:rPr>
              <w:t xml:space="preserve">ETF will determine any changes to the </w:t>
            </w:r>
            <w:r w:rsidR="00EE0289">
              <w:rPr>
                <w:rFonts w:cs="Arial"/>
              </w:rPr>
              <w:t>Contract T</w:t>
            </w:r>
            <w:r w:rsidR="005A77B9">
              <w:rPr>
                <w:rFonts w:cs="Arial"/>
              </w:rPr>
              <w:t xml:space="preserve">erms and </w:t>
            </w:r>
            <w:r w:rsidR="00EE0289">
              <w:rPr>
                <w:rFonts w:cs="Arial"/>
              </w:rPr>
              <w:t>C</w:t>
            </w:r>
            <w:r w:rsidR="005A77B9">
              <w:rPr>
                <w:rFonts w:cs="Arial"/>
              </w:rPr>
              <w:t>onditions.</w:t>
            </w:r>
            <w:r w:rsidR="00911E1F" w:rsidRPr="00014C25">
              <w:t xml:space="preserve"> </w:t>
            </w:r>
            <w:r w:rsidR="00135C03" w:rsidRPr="005A77B9">
              <w:rPr>
                <w:rFonts w:cs="Arial"/>
              </w:rPr>
              <w:t xml:space="preserve">If </w:t>
            </w:r>
            <w:r w:rsidR="00135C03">
              <w:rPr>
                <w:rFonts w:cs="Arial"/>
              </w:rPr>
              <w:t>the Proposer has</w:t>
            </w:r>
            <w:r w:rsidR="00135C03" w:rsidRPr="005A77B9">
              <w:rPr>
                <w:rFonts w:cs="Arial"/>
              </w:rPr>
              <w:t xml:space="preserve"> no assumptions </w:t>
            </w:r>
            <w:r w:rsidR="00135C03" w:rsidRPr="005A77B9">
              <w:rPr>
                <w:rFonts w:cs="Arial"/>
              </w:rPr>
              <w:lastRenderedPageBreak/>
              <w:t xml:space="preserve">or exceptions to </w:t>
            </w:r>
            <w:r w:rsidR="00135C03">
              <w:rPr>
                <w:rFonts w:cs="Arial"/>
              </w:rPr>
              <w:t xml:space="preserve">the </w:t>
            </w:r>
            <w:r w:rsidR="00135C03" w:rsidRPr="005A77B9">
              <w:rPr>
                <w:rFonts w:cs="Arial"/>
              </w:rPr>
              <w:t xml:space="preserve">Contract Terms </w:t>
            </w:r>
            <w:r w:rsidR="00135C03">
              <w:rPr>
                <w:rFonts w:cs="Arial"/>
              </w:rPr>
              <w:t>and</w:t>
            </w:r>
            <w:r w:rsidR="00135C03" w:rsidRPr="005A77B9">
              <w:rPr>
                <w:rFonts w:cs="Arial"/>
              </w:rPr>
              <w:t xml:space="preserve"> Conditions, provide a statement </w:t>
            </w:r>
            <w:r w:rsidR="00135C03">
              <w:rPr>
                <w:rFonts w:cs="Arial"/>
              </w:rPr>
              <w:t>in Tab 3 to that effect.</w:t>
            </w:r>
          </w:p>
          <w:p w14:paraId="2F3FB78F" w14:textId="70EC51E9" w:rsidR="00911E1F" w:rsidRPr="00273653" w:rsidRDefault="00911E1F" w:rsidP="00911E1F">
            <w:pPr>
              <w:pStyle w:val="LRWLBodyTextBullet1"/>
              <w:numPr>
                <w:ilvl w:val="0"/>
                <w:numId w:val="0"/>
              </w:numPr>
              <w:ind w:left="765"/>
            </w:pPr>
            <w:r w:rsidRPr="00014C25">
              <w:t xml:space="preserve">Provide a succinct explanation for each assumption and exception as well as a reference to the </w:t>
            </w:r>
            <w:r>
              <w:t xml:space="preserve">exhibit, </w:t>
            </w:r>
            <w:r w:rsidRPr="00014C25">
              <w:t xml:space="preserve">appendix, attachment, and/or section of this </w:t>
            </w:r>
            <w:r>
              <w:t>RFP to which</w:t>
            </w:r>
            <w:r w:rsidRPr="00014C25">
              <w:rPr>
                <w:caps/>
              </w:rPr>
              <w:t xml:space="preserve"> </w:t>
            </w:r>
            <w:r w:rsidRPr="00014C25">
              <w:t>the as</w:t>
            </w:r>
            <w:r>
              <w:t>sumption or exception applies</w:t>
            </w:r>
            <w:r w:rsidRPr="00014C25">
              <w:t>.</w:t>
            </w:r>
            <w:r w:rsidRPr="00AB26A1">
              <w:rPr>
                <w:b/>
              </w:rPr>
              <w:t xml:space="preserve"> </w:t>
            </w:r>
            <w:r>
              <w:t>C</w:t>
            </w:r>
            <w:r w:rsidRPr="00273653">
              <w:t xml:space="preserve">learly label each assumption </w:t>
            </w:r>
            <w:r>
              <w:t>and</w:t>
            </w:r>
            <w:r w:rsidRPr="00273653">
              <w:t xml:space="preserve"> exception, restate the original </w:t>
            </w:r>
            <w:r w:rsidR="000E6C6A">
              <w:t xml:space="preserve">RFP </w:t>
            </w:r>
            <w:r>
              <w:t>language</w:t>
            </w:r>
            <w:r w:rsidRPr="00273653">
              <w:t xml:space="preserve">, state </w:t>
            </w:r>
            <w:r>
              <w:t>Proposer’s</w:t>
            </w:r>
            <w:r w:rsidRPr="00273653">
              <w:t xml:space="preserve"> assumption or exception to the </w:t>
            </w:r>
            <w:r w:rsidR="000E6C6A">
              <w:t xml:space="preserve">RFP </w:t>
            </w:r>
            <w:r>
              <w:t>language</w:t>
            </w:r>
            <w:r w:rsidRPr="00273653">
              <w:t xml:space="preserve"> with one of the following labels:</w:t>
            </w:r>
          </w:p>
          <w:p w14:paraId="3A71C1E4" w14:textId="77777777" w:rsidR="00911E1F" w:rsidRDefault="00911E1F" w:rsidP="00B668CB">
            <w:pPr>
              <w:pStyle w:val="LRWLBodyTextBullet1"/>
              <w:tabs>
                <w:tab w:val="clear" w:pos="720"/>
                <w:tab w:val="num" w:pos="1125"/>
              </w:tabs>
              <w:ind w:left="1125"/>
              <w:rPr>
                <w:rFonts w:cs="Arial"/>
              </w:rPr>
            </w:pPr>
            <w:r w:rsidRPr="005A77B9">
              <w:rPr>
                <w:rFonts w:cs="Arial"/>
              </w:rPr>
              <w:t xml:space="preserve">Standard Terms </w:t>
            </w:r>
            <w:r>
              <w:rPr>
                <w:rFonts w:cs="Arial"/>
              </w:rPr>
              <w:t>a</w:t>
            </w:r>
            <w:r w:rsidRPr="005A77B9">
              <w:rPr>
                <w:rFonts w:cs="Arial"/>
              </w:rPr>
              <w:t>nd Conditions Exception</w:t>
            </w:r>
          </w:p>
          <w:p w14:paraId="78615677" w14:textId="77777777" w:rsidR="00B668CB" w:rsidRDefault="00911E1F" w:rsidP="00B668CB">
            <w:pPr>
              <w:pStyle w:val="LRWLBodyTextBullet1"/>
              <w:tabs>
                <w:tab w:val="clear" w:pos="720"/>
                <w:tab w:val="num" w:pos="1125"/>
              </w:tabs>
              <w:ind w:left="1125"/>
              <w:rPr>
                <w:rFonts w:cs="Arial"/>
              </w:rPr>
            </w:pPr>
            <w:r w:rsidRPr="0097707A">
              <w:rPr>
                <w:rFonts w:cs="Arial"/>
              </w:rPr>
              <w:t>RFP Assumption</w:t>
            </w:r>
          </w:p>
          <w:p w14:paraId="47E4570B" w14:textId="7F5F21C2" w:rsidR="005A77B9" w:rsidRPr="00135C03" w:rsidRDefault="00B668CB" w:rsidP="00135C03">
            <w:pPr>
              <w:pStyle w:val="LRWLBodyTextBullet1"/>
              <w:tabs>
                <w:tab w:val="clear" w:pos="720"/>
                <w:tab w:val="num" w:pos="1125"/>
              </w:tabs>
              <w:ind w:left="1125"/>
              <w:rPr>
                <w:rFonts w:cs="Arial"/>
              </w:rPr>
            </w:pPr>
            <w:r w:rsidRPr="00E24ED4">
              <w:rPr>
                <w:rFonts w:cs="Arial"/>
              </w:rPr>
              <w:t>RFP Exception</w:t>
            </w:r>
            <w:bookmarkStart w:id="12" w:name="_GoBack"/>
            <w:bookmarkEnd w:id="12"/>
          </w:p>
          <w:p w14:paraId="0C985358" w14:textId="4B31A371" w:rsidR="009D45F2" w:rsidRPr="006D249B" w:rsidRDefault="009D45F2" w:rsidP="00F01E1A">
            <w:pPr>
              <w:pStyle w:val="LRWLBodyTextBullet1"/>
              <w:numPr>
                <w:ilvl w:val="0"/>
                <w:numId w:val="53"/>
              </w:numPr>
              <w:rPr>
                <w:b/>
                <w:u w:val="single"/>
              </w:rPr>
            </w:pPr>
            <w:r w:rsidRPr="006D249B">
              <w:rPr>
                <w:b/>
                <w:u w:val="single"/>
              </w:rPr>
              <w:t>Assumptions or Exceptions to Attachment C Cost Proposal</w:t>
            </w:r>
          </w:p>
          <w:p w14:paraId="5085BD50" w14:textId="0850246F" w:rsidR="00A32A0C" w:rsidRPr="005D13D4" w:rsidRDefault="006D249B" w:rsidP="00881E02">
            <w:pPr>
              <w:pStyle w:val="LRWLBodyTextBullet1"/>
              <w:numPr>
                <w:ilvl w:val="0"/>
                <w:numId w:val="0"/>
              </w:numPr>
              <w:ind w:left="720"/>
              <w:rPr>
                <w:u w:val="single"/>
              </w:rPr>
            </w:pPr>
            <w:r>
              <w:t>Us</w:t>
            </w:r>
            <w:r w:rsidR="00911E1F">
              <w:t>e</w:t>
            </w:r>
            <w:r>
              <w:t xml:space="preserve"> </w:t>
            </w:r>
            <w:r w:rsidR="00FB48BF">
              <w:t>the Microsoft Excel file “</w:t>
            </w:r>
            <w:r w:rsidR="009D45F2">
              <w:t xml:space="preserve">Attachment D </w:t>
            </w:r>
            <w:r w:rsidR="00FB48BF">
              <w:t>Financial Compliance.xlsx”</w:t>
            </w:r>
            <w:r w:rsidR="00881E02">
              <w:t xml:space="preserve"> (Follow all instructions on tab D-1 within the file)</w:t>
            </w:r>
            <w:r w:rsidR="00FB48BF">
              <w:t xml:space="preserve"> to submit all assumptions and exceptions to </w:t>
            </w:r>
            <w:r w:rsidR="00881E02">
              <w:t xml:space="preserve">the </w:t>
            </w:r>
            <w:r w:rsidR="00FB48BF">
              <w:t xml:space="preserve">Attachment C Cost Proposal. </w:t>
            </w:r>
            <w:r w:rsidR="009D45F2" w:rsidRPr="005D13D4">
              <w:rPr>
                <w:b/>
                <w:u w:val="single"/>
              </w:rPr>
              <w:t>NOTE:</w:t>
            </w:r>
            <w:r w:rsidR="009D45F2" w:rsidRPr="005D13D4">
              <w:rPr>
                <w:u w:val="single"/>
              </w:rPr>
              <w:t xml:space="preserve"> </w:t>
            </w:r>
            <w:r w:rsidRPr="00EE0289">
              <w:rPr>
                <w:b/>
                <w:u w:val="single"/>
              </w:rPr>
              <w:t>Proposer shall not include</w:t>
            </w:r>
            <w:r w:rsidR="009D45F2" w:rsidRPr="00EE0289">
              <w:rPr>
                <w:rFonts w:cs="Arial"/>
                <w:b/>
                <w:u w:val="single"/>
              </w:rPr>
              <w:t xml:space="preserve"> any dollar amount</w:t>
            </w:r>
            <w:r w:rsidR="00EE0289" w:rsidRPr="00EE0289">
              <w:rPr>
                <w:rFonts w:cs="Arial"/>
                <w:b/>
                <w:u w:val="single"/>
              </w:rPr>
              <w:t>s</w:t>
            </w:r>
            <w:r w:rsidR="009D45F2" w:rsidRPr="00EE0289">
              <w:rPr>
                <w:rFonts w:cs="Arial"/>
                <w:b/>
                <w:u w:val="single"/>
              </w:rPr>
              <w:t xml:space="preserve"> related to any service or fee</w:t>
            </w:r>
            <w:r w:rsidRPr="00EE0289">
              <w:rPr>
                <w:rFonts w:cs="Arial"/>
                <w:b/>
                <w:u w:val="single"/>
              </w:rPr>
              <w:t xml:space="preserve"> prop</w:t>
            </w:r>
            <w:r w:rsidR="00EE0289">
              <w:rPr>
                <w:rFonts w:cs="Arial"/>
                <w:b/>
                <w:u w:val="single"/>
              </w:rPr>
              <w:t>o</w:t>
            </w:r>
            <w:r w:rsidR="007B0B4F">
              <w:rPr>
                <w:rFonts w:cs="Arial"/>
                <w:b/>
                <w:u w:val="single"/>
              </w:rPr>
              <w:t>sed by Proposer i</w:t>
            </w:r>
            <w:r w:rsidRPr="00EE0289">
              <w:rPr>
                <w:rFonts w:cs="Arial"/>
                <w:b/>
                <w:u w:val="single"/>
              </w:rPr>
              <w:t>n Attachment D</w:t>
            </w:r>
            <w:r w:rsidR="009D45F2" w:rsidRPr="00EE0289">
              <w:rPr>
                <w:rFonts w:cs="Arial"/>
                <w:b/>
                <w:u w:val="single"/>
              </w:rPr>
              <w:t>.</w:t>
            </w:r>
          </w:p>
        </w:tc>
      </w:tr>
      <w:tr w:rsidR="00BC4F3E" w:rsidRPr="00273653" w14:paraId="7F2FED95" w14:textId="77777777" w:rsidTr="009B7AB5">
        <w:tc>
          <w:tcPr>
            <w:tcW w:w="1562" w:type="dxa"/>
          </w:tcPr>
          <w:p w14:paraId="1B7AF2FB" w14:textId="715B022C" w:rsidR="00BC4F3E" w:rsidRPr="006A5F95" w:rsidRDefault="00BC4F3E" w:rsidP="00451A40">
            <w:pPr>
              <w:tabs>
                <w:tab w:val="num" w:pos="360"/>
              </w:tabs>
              <w:rPr>
                <w:rFonts w:ascii="Arial" w:hAnsi="Arial" w:cs="Arial"/>
              </w:rPr>
            </w:pPr>
            <w:r w:rsidRPr="0046721F">
              <w:rPr>
                <w:rFonts w:ascii="Arial" w:hAnsi="Arial" w:cs="Arial"/>
              </w:rPr>
              <w:lastRenderedPageBreak/>
              <w:t>T</w:t>
            </w:r>
            <w:r w:rsidR="00451A40" w:rsidRPr="0046721F">
              <w:rPr>
                <w:rFonts w:ascii="Arial" w:hAnsi="Arial" w:cs="Arial"/>
              </w:rPr>
              <w:t>AB</w:t>
            </w:r>
            <w:r w:rsidRPr="0046721F">
              <w:rPr>
                <w:rFonts w:ascii="Arial" w:hAnsi="Arial" w:cs="Arial"/>
              </w:rPr>
              <w:t xml:space="preserve"> 4</w:t>
            </w:r>
          </w:p>
        </w:tc>
        <w:tc>
          <w:tcPr>
            <w:tcW w:w="7803" w:type="dxa"/>
          </w:tcPr>
          <w:p w14:paraId="5C484281" w14:textId="19655BB2" w:rsidR="00BC4F3E" w:rsidRPr="006A5F95" w:rsidRDefault="00BC4F3E" w:rsidP="00BC4F3E">
            <w:pPr>
              <w:tabs>
                <w:tab w:val="num" w:pos="360"/>
              </w:tabs>
              <w:rPr>
                <w:rFonts w:ascii="Arial" w:hAnsi="Arial" w:cs="Arial"/>
              </w:rPr>
            </w:pPr>
            <w:r w:rsidRPr="006A5F95">
              <w:rPr>
                <w:rFonts w:ascii="Arial" w:hAnsi="Arial" w:cs="Arial"/>
              </w:rPr>
              <w:t xml:space="preserve">Provide a </w:t>
            </w:r>
            <w:r w:rsidR="00773E82">
              <w:rPr>
                <w:rFonts w:ascii="Arial" w:hAnsi="Arial" w:cs="Arial"/>
              </w:rPr>
              <w:t xml:space="preserve">hard </w:t>
            </w:r>
            <w:r w:rsidRPr="006A5F95">
              <w:rPr>
                <w:rFonts w:ascii="Arial" w:hAnsi="Arial" w:cs="Arial"/>
              </w:rPr>
              <w:t>copy of the following documents:</w:t>
            </w:r>
          </w:p>
          <w:p w14:paraId="400D3089" w14:textId="77777777" w:rsidR="000E6C6A" w:rsidRPr="006A5F95" w:rsidRDefault="000E6C6A" w:rsidP="000E6C6A">
            <w:pPr>
              <w:pStyle w:val="LRWLBodyTextBullet1"/>
              <w:rPr>
                <w:rFonts w:cs="Arial"/>
              </w:rPr>
            </w:pPr>
            <w:r>
              <w:rPr>
                <w:rFonts w:cs="Arial"/>
              </w:rPr>
              <w:t>Proposer’s certified financial statement for Proposer’s most recent completed fiscal year;</w:t>
            </w:r>
          </w:p>
          <w:p w14:paraId="550BD2CE" w14:textId="77777777" w:rsidR="000E6C6A" w:rsidRPr="0046721F" w:rsidRDefault="000E6C6A" w:rsidP="000E6C6A">
            <w:pPr>
              <w:pStyle w:val="LRWLBodyTextBullet1"/>
              <w:rPr>
                <w:rFonts w:cs="Arial"/>
              </w:rPr>
            </w:pPr>
            <w:r>
              <w:rPr>
                <w:rFonts w:cs="Arial"/>
              </w:rPr>
              <w:t xml:space="preserve">Sample </w:t>
            </w:r>
            <w:r w:rsidRPr="0046721F">
              <w:rPr>
                <w:rFonts w:cs="Arial"/>
              </w:rPr>
              <w:t xml:space="preserve">Proposer’s standard </w:t>
            </w:r>
            <w:r>
              <w:rPr>
                <w:rFonts w:cs="Arial"/>
              </w:rPr>
              <w:t xml:space="preserve">wellness and disease management </w:t>
            </w:r>
            <w:r w:rsidRPr="0046721F">
              <w:rPr>
                <w:rFonts w:cs="Arial"/>
              </w:rPr>
              <w:t>contract</w:t>
            </w:r>
            <w:r>
              <w:rPr>
                <w:rFonts w:cs="Arial"/>
              </w:rPr>
              <w:t>;</w:t>
            </w:r>
          </w:p>
          <w:p w14:paraId="41A31D46" w14:textId="77777777" w:rsidR="000E6C6A" w:rsidRPr="0046721F" w:rsidRDefault="000E6C6A" w:rsidP="000E6C6A">
            <w:pPr>
              <w:pStyle w:val="LRWLBodyTextBullet1"/>
              <w:rPr>
                <w:rFonts w:cs="Arial"/>
              </w:rPr>
            </w:pPr>
            <w:r w:rsidRPr="0046721F">
              <w:t xml:space="preserve">Sample </w:t>
            </w:r>
            <w:r>
              <w:t>Proposer p</w:t>
            </w:r>
            <w:r w:rsidRPr="0046721F">
              <w:t xml:space="preserve">romotional </w:t>
            </w:r>
            <w:r>
              <w:t>m</w:t>
            </w:r>
            <w:r w:rsidRPr="0046721F">
              <w:t>aterials</w:t>
            </w:r>
            <w:r>
              <w:t>;</w:t>
            </w:r>
          </w:p>
          <w:p w14:paraId="29A6EA9C" w14:textId="77777777" w:rsidR="000E6C6A" w:rsidRPr="0046721F" w:rsidRDefault="000E6C6A" w:rsidP="000E6C6A">
            <w:pPr>
              <w:pStyle w:val="LRWLBodyTextBullet1"/>
              <w:rPr>
                <w:rFonts w:cs="Arial"/>
              </w:rPr>
            </w:pPr>
            <w:r w:rsidRPr="0046721F">
              <w:t xml:space="preserve">Sample </w:t>
            </w:r>
            <w:r>
              <w:t>Proposer r</w:t>
            </w:r>
            <w:r w:rsidRPr="0046721F">
              <w:t>eports</w:t>
            </w:r>
            <w:r>
              <w:t>; and,</w:t>
            </w:r>
          </w:p>
          <w:p w14:paraId="28EBF558" w14:textId="462B2EEF" w:rsidR="00451A40" w:rsidRPr="006A5F95" w:rsidRDefault="000E6C6A" w:rsidP="00B30D27">
            <w:pPr>
              <w:pStyle w:val="LRWLBodyTextBullet1"/>
              <w:rPr>
                <w:rFonts w:cs="Arial"/>
              </w:rPr>
            </w:pPr>
            <w:r w:rsidRPr="0046721F">
              <w:t xml:space="preserve">Sample </w:t>
            </w:r>
            <w:r>
              <w:t>Proposer i</w:t>
            </w:r>
            <w:r w:rsidRPr="0046721F">
              <w:t>nvoice</w:t>
            </w:r>
            <w:r>
              <w:t>s.</w:t>
            </w:r>
          </w:p>
        </w:tc>
      </w:tr>
      <w:tr w:rsidR="00EE0DF9" w:rsidRPr="00273653" w14:paraId="205A82FF" w14:textId="77777777" w:rsidTr="009B7AB5">
        <w:tc>
          <w:tcPr>
            <w:tcW w:w="1562" w:type="dxa"/>
          </w:tcPr>
          <w:p w14:paraId="10CEA92A" w14:textId="02170CBB" w:rsidR="00EE0DF9" w:rsidRDefault="00EE0DF9" w:rsidP="00A56668">
            <w:pPr>
              <w:tabs>
                <w:tab w:val="num" w:pos="360"/>
              </w:tabs>
              <w:rPr>
                <w:rFonts w:ascii="Arial" w:hAnsi="Arial" w:cs="Arial"/>
              </w:rPr>
            </w:pPr>
            <w:r>
              <w:rPr>
                <w:rFonts w:ascii="Arial" w:hAnsi="Arial" w:cs="Arial"/>
              </w:rPr>
              <w:t xml:space="preserve">TAB </w:t>
            </w:r>
            <w:r w:rsidR="00A56668">
              <w:rPr>
                <w:rFonts w:ascii="Arial" w:hAnsi="Arial" w:cs="Arial"/>
              </w:rPr>
              <w:t>5</w:t>
            </w:r>
          </w:p>
        </w:tc>
        <w:tc>
          <w:tcPr>
            <w:tcW w:w="7803" w:type="dxa"/>
          </w:tcPr>
          <w:p w14:paraId="29A42C7A" w14:textId="215A77A2" w:rsidR="00EE0DF9" w:rsidRDefault="00EC659C">
            <w:pPr>
              <w:tabs>
                <w:tab w:val="num" w:pos="360"/>
              </w:tabs>
              <w:rPr>
                <w:rFonts w:ascii="Arial" w:hAnsi="Arial" w:cs="Arial"/>
              </w:rPr>
            </w:pPr>
            <w:r>
              <w:rPr>
                <w:rFonts w:ascii="Arial" w:hAnsi="Arial" w:cs="Arial"/>
              </w:rPr>
              <w:t>Additional Services</w:t>
            </w:r>
          </w:p>
          <w:p w14:paraId="633C6E26" w14:textId="4B4AF366" w:rsidR="00EE0DF9" w:rsidRPr="00EE0DF9" w:rsidRDefault="00FD510B" w:rsidP="00EC659C">
            <w:pPr>
              <w:tabs>
                <w:tab w:val="num" w:pos="360"/>
              </w:tabs>
              <w:rPr>
                <w:rFonts w:ascii="Arial" w:hAnsi="Arial" w:cs="Arial"/>
              </w:rPr>
            </w:pPr>
            <w:r>
              <w:rPr>
                <w:rFonts w:ascii="Arial" w:hAnsi="Arial" w:cs="Arial"/>
              </w:rPr>
              <w:t>Proposer</w:t>
            </w:r>
            <w:r w:rsidR="00EE0DF9">
              <w:rPr>
                <w:rFonts w:ascii="Arial" w:hAnsi="Arial" w:cs="Arial"/>
              </w:rPr>
              <w:t xml:space="preserve"> may submit additional detail for services beyond those </w:t>
            </w:r>
            <w:r w:rsidR="00C73CA3" w:rsidRPr="00082528">
              <w:rPr>
                <w:rFonts w:ascii="Arial" w:hAnsi="Arial" w:cs="Arial"/>
              </w:rPr>
              <w:t>requested</w:t>
            </w:r>
            <w:r w:rsidR="00C73CA3" w:rsidRPr="00CE09B4">
              <w:rPr>
                <w:rFonts w:ascii="Arial" w:hAnsi="Arial" w:cs="Arial"/>
              </w:rPr>
              <w:t xml:space="preserve"> in this RFP to be considered as part of </w:t>
            </w:r>
            <w:r w:rsidR="00A56668">
              <w:rPr>
                <w:rFonts w:ascii="Arial" w:hAnsi="Arial" w:cs="Arial"/>
              </w:rPr>
              <w:t>C</w:t>
            </w:r>
            <w:r w:rsidR="00C73CA3" w:rsidRPr="00CE09B4">
              <w:rPr>
                <w:rFonts w:ascii="Arial" w:hAnsi="Arial" w:cs="Arial"/>
              </w:rPr>
              <w:t>ontract negotiations</w:t>
            </w:r>
            <w:r w:rsidR="001415E2">
              <w:rPr>
                <w:rFonts w:ascii="Arial" w:hAnsi="Arial" w:cs="Arial"/>
              </w:rPr>
              <w:t xml:space="preserve"> (see section 8.2 </w:t>
            </w:r>
            <w:r w:rsidR="00EC659C">
              <w:rPr>
                <w:rFonts w:ascii="Arial" w:hAnsi="Arial" w:cs="Arial"/>
              </w:rPr>
              <w:t>Additional Services</w:t>
            </w:r>
            <w:r w:rsidR="001415E2">
              <w:rPr>
                <w:rFonts w:ascii="Arial" w:hAnsi="Arial" w:cs="Arial"/>
              </w:rPr>
              <w:t>)</w:t>
            </w:r>
            <w:r w:rsidR="00C73CA3" w:rsidRPr="00CE09B4">
              <w:rPr>
                <w:rFonts w:ascii="Arial" w:hAnsi="Arial" w:cs="Arial"/>
              </w:rPr>
              <w:t xml:space="preserve">. The listing of any corresponding dollar amounts related to </w:t>
            </w:r>
            <w:r w:rsidR="00EC659C">
              <w:rPr>
                <w:rFonts w:ascii="Arial" w:hAnsi="Arial" w:cs="Arial"/>
              </w:rPr>
              <w:t>additional</w:t>
            </w:r>
            <w:r w:rsidR="00C73CA3" w:rsidRPr="00CE09B4">
              <w:rPr>
                <w:rFonts w:ascii="Arial" w:hAnsi="Arial" w:cs="Arial"/>
              </w:rPr>
              <w:t xml:space="preserve"> services ma</w:t>
            </w:r>
            <w:r w:rsidR="00881E02">
              <w:rPr>
                <w:rFonts w:ascii="Arial" w:hAnsi="Arial" w:cs="Arial"/>
              </w:rPr>
              <w:t>y only be listed in the A</w:t>
            </w:r>
            <w:r w:rsidR="00EC659C">
              <w:rPr>
                <w:rFonts w:ascii="Arial" w:hAnsi="Arial" w:cs="Arial"/>
              </w:rPr>
              <w:t>dditional</w:t>
            </w:r>
            <w:r w:rsidR="00C73CA3" w:rsidRPr="00CE09B4">
              <w:rPr>
                <w:rFonts w:ascii="Arial" w:hAnsi="Arial" w:cs="Arial"/>
              </w:rPr>
              <w:t xml:space="preserve"> </w:t>
            </w:r>
            <w:r w:rsidR="00881E02">
              <w:rPr>
                <w:rFonts w:ascii="Arial" w:hAnsi="Arial" w:cs="Arial"/>
              </w:rPr>
              <w:t>S</w:t>
            </w:r>
            <w:r w:rsidR="00E142D9">
              <w:rPr>
                <w:rFonts w:ascii="Arial" w:hAnsi="Arial" w:cs="Arial"/>
              </w:rPr>
              <w:t>ervices</w:t>
            </w:r>
            <w:r w:rsidR="00C73CA3" w:rsidRPr="00CE09B4">
              <w:rPr>
                <w:rFonts w:ascii="Arial" w:hAnsi="Arial" w:cs="Arial"/>
              </w:rPr>
              <w:t xml:space="preserve"> </w:t>
            </w:r>
            <w:r w:rsidR="00EB45C2">
              <w:rPr>
                <w:rFonts w:ascii="Arial" w:hAnsi="Arial" w:cs="Arial"/>
              </w:rPr>
              <w:t xml:space="preserve">section in </w:t>
            </w:r>
            <w:r w:rsidR="00EB45C2" w:rsidRPr="00CE09B4">
              <w:rPr>
                <w:rFonts w:ascii="Arial" w:hAnsi="Arial" w:cs="Arial"/>
              </w:rPr>
              <w:t xml:space="preserve">Attachment </w:t>
            </w:r>
            <w:r w:rsidR="00EB45C2" w:rsidRPr="00082528">
              <w:rPr>
                <w:rFonts w:ascii="Arial" w:hAnsi="Arial" w:cs="Arial"/>
              </w:rPr>
              <w:t>C</w:t>
            </w:r>
            <w:r w:rsidR="00EB45C2">
              <w:rPr>
                <w:rFonts w:ascii="Arial" w:hAnsi="Arial" w:cs="Arial"/>
              </w:rPr>
              <w:t xml:space="preserve"> Cost Proposal. </w:t>
            </w:r>
            <w:r>
              <w:rPr>
                <w:rFonts w:ascii="Arial" w:hAnsi="Arial" w:cs="Arial"/>
              </w:rPr>
              <w:t>Proposer</w:t>
            </w:r>
            <w:r w:rsidR="00EB45C2">
              <w:rPr>
                <w:rFonts w:ascii="Arial" w:hAnsi="Arial" w:cs="Arial"/>
              </w:rPr>
              <w:t xml:space="preserve"> shall not list any cost information in the written Proposal. </w:t>
            </w:r>
            <w:r w:rsidR="00EB45C2" w:rsidRPr="00C43B71">
              <w:rPr>
                <w:rFonts w:ascii="Arial" w:hAnsi="Arial" w:cs="Arial"/>
              </w:rPr>
              <w:t xml:space="preserve">Any </w:t>
            </w:r>
            <w:r w:rsidR="00881E02">
              <w:rPr>
                <w:rFonts w:ascii="Arial" w:hAnsi="Arial" w:cs="Arial"/>
              </w:rPr>
              <w:t>A</w:t>
            </w:r>
            <w:r w:rsidR="003C6AA2">
              <w:rPr>
                <w:rFonts w:ascii="Arial" w:hAnsi="Arial" w:cs="Arial"/>
              </w:rPr>
              <w:t>dditional</w:t>
            </w:r>
            <w:r w:rsidR="00881E02">
              <w:rPr>
                <w:rFonts w:ascii="Arial" w:hAnsi="Arial" w:cs="Arial"/>
              </w:rPr>
              <w:t xml:space="preserve"> S</w:t>
            </w:r>
            <w:r w:rsidR="00EB45C2" w:rsidRPr="00C43B71">
              <w:rPr>
                <w:rFonts w:ascii="Arial" w:hAnsi="Arial" w:cs="Arial"/>
              </w:rPr>
              <w:t>ervice offered will not be given</w:t>
            </w:r>
            <w:r w:rsidR="00EB45C2">
              <w:rPr>
                <w:rFonts w:ascii="Arial" w:hAnsi="Arial" w:cs="Arial"/>
              </w:rPr>
              <w:t xml:space="preserve"> consideration for </w:t>
            </w:r>
            <w:r w:rsidR="00EB45C2" w:rsidRPr="00C43B71">
              <w:rPr>
                <w:rFonts w:ascii="Arial" w:hAnsi="Arial" w:cs="Arial"/>
              </w:rPr>
              <w:t xml:space="preserve">additional points during the evaluation process or be a basis for the method of awarding the </w:t>
            </w:r>
            <w:r w:rsidR="00EB45C2">
              <w:rPr>
                <w:rFonts w:ascii="Arial" w:hAnsi="Arial" w:cs="Arial"/>
              </w:rPr>
              <w:t>C</w:t>
            </w:r>
            <w:r w:rsidR="00EB45C2" w:rsidRPr="00C43B71">
              <w:rPr>
                <w:rFonts w:ascii="Arial" w:hAnsi="Arial" w:cs="Arial"/>
              </w:rPr>
              <w:t>ontract.</w:t>
            </w:r>
          </w:p>
        </w:tc>
      </w:tr>
      <w:tr w:rsidR="000C3D78" w:rsidRPr="00273653" w14:paraId="2B4AE721" w14:textId="77777777" w:rsidTr="009B7AB5">
        <w:tc>
          <w:tcPr>
            <w:tcW w:w="9365" w:type="dxa"/>
            <w:gridSpan w:val="2"/>
          </w:tcPr>
          <w:p w14:paraId="0F6831CB" w14:textId="35E61300" w:rsidR="000C3D78" w:rsidRDefault="000C3D78" w:rsidP="000C3D78">
            <w:pPr>
              <w:tabs>
                <w:tab w:val="num" w:pos="360"/>
              </w:tabs>
              <w:rPr>
                <w:rFonts w:ascii="Arial" w:hAnsi="Arial" w:cs="Arial"/>
                <w:b/>
              </w:rPr>
            </w:pPr>
            <w:r>
              <w:rPr>
                <w:rFonts w:ascii="Arial" w:hAnsi="Arial" w:cs="Arial"/>
                <w:b/>
              </w:rPr>
              <w:t>Format for Sealed Cost Proposal</w:t>
            </w:r>
          </w:p>
        </w:tc>
      </w:tr>
      <w:tr w:rsidR="000C3D78" w:rsidRPr="00273653" w14:paraId="70E9FAA3" w14:textId="77777777" w:rsidTr="009B7AB5">
        <w:tc>
          <w:tcPr>
            <w:tcW w:w="1562" w:type="dxa"/>
          </w:tcPr>
          <w:p w14:paraId="6CBA6B4E" w14:textId="77777777" w:rsidR="000C3D78" w:rsidRPr="00273653" w:rsidRDefault="000C3D78" w:rsidP="000C3D78">
            <w:pPr>
              <w:tabs>
                <w:tab w:val="num" w:pos="360"/>
              </w:tabs>
              <w:rPr>
                <w:rFonts w:ascii="Arial" w:hAnsi="Arial" w:cs="Arial"/>
              </w:rPr>
            </w:pPr>
            <w:r>
              <w:rPr>
                <w:rFonts w:ascii="Arial" w:hAnsi="Arial" w:cs="Arial"/>
              </w:rPr>
              <w:t>SEALED COST PROPOSAL</w:t>
            </w:r>
          </w:p>
        </w:tc>
        <w:tc>
          <w:tcPr>
            <w:tcW w:w="7803" w:type="dxa"/>
          </w:tcPr>
          <w:p w14:paraId="46B38B0B" w14:textId="67013536" w:rsidR="000C3D78" w:rsidRPr="00273653" w:rsidRDefault="00B30D27" w:rsidP="00881E02">
            <w:pPr>
              <w:tabs>
                <w:tab w:val="num" w:pos="360"/>
              </w:tabs>
              <w:rPr>
                <w:rFonts w:ascii="Arial" w:hAnsi="Arial" w:cs="Arial"/>
              </w:rPr>
            </w:pPr>
            <w:r>
              <w:rPr>
                <w:rFonts w:ascii="Arial" w:hAnsi="Arial" w:cs="Arial"/>
              </w:rPr>
              <w:t xml:space="preserve">The </w:t>
            </w:r>
            <w:r w:rsidR="000C3D78" w:rsidRPr="00317152">
              <w:rPr>
                <w:rFonts w:ascii="Arial" w:hAnsi="Arial" w:cs="Arial"/>
              </w:rPr>
              <w:t xml:space="preserve">Cost Proposal </w:t>
            </w:r>
            <w:r>
              <w:rPr>
                <w:rFonts w:ascii="Arial" w:hAnsi="Arial" w:cs="Arial"/>
              </w:rPr>
              <w:t xml:space="preserve">form is </w:t>
            </w:r>
            <w:r w:rsidR="000C3D78" w:rsidRPr="00317152">
              <w:rPr>
                <w:rFonts w:ascii="Arial" w:hAnsi="Arial" w:cs="Arial"/>
              </w:rPr>
              <w:t xml:space="preserve">located in </w:t>
            </w:r>
            <w:r w:rsidR="00881E02">
              <w:rPr>
                <w:rFonts w:ascii="Arial" w:hAnsi="Arial" w:cs="Arial"/>
              </w:rPr>
              <w:t>the Microsoft Excel file “</w:t>
            </w:r>
            <w:r w:rsidR="00881E02" w:rsidRPr="00881E02">
              <w:rPr>
                <w:rFonts w:ascii="Arial" w:hAnsi="Arial" w:cs="Arial"/>
              </w:rPr>
              <w:t>Attachment C - Cost Proposal</w:t>
            </w:r>
            <w:r w:rsidR="000C3D78" w:rsidRPr="00317152">
              <w:rPr>
                <w:rFonts w:ascii="Arial" w:hAnsi="Arial" w:cs="Arial"/>
              </w:rPr>
              <w:t>.</w:t>
            </w:r>
            <w:r w:rsidR="00881E02">
              <w:rPr>
                <w:rFonts w:ascii="Arial" w:hAnsi="Arial" w:cs="Arial"/>
              </w:rPr>
              <w:t xml:space="preserve">xlsx” (Follow instructions on tab C-1 within this file). </w:t>
            </w:r>
            <w:r w:rsidR="000C3D78" w:rsidRPr="00317152">
              <w:rPr>
                <w:rFonts w:ascii="Arial" w:hAnsi="Arial" w:cs="Arial"/>
              </w:rPr>
              <w:t xml:space="preserve">Failure to provide a sealed </w:t>
            </w:r>
            <w:r w:rsidR="000C3D78">
              <w:rPr>
                <w:rFonts w:ascii="Arial" w:hAnsi="Arial" w:cs="Arial"/>
              </w:rPr>
              <w:t>C</w:t>
            </w:r>
            <w:r w:rsidR="000C3D78" w:rsidRPr="00317152">
              <w:rPr>
                <w:rFonts w:ascii="Arial" w:hAnsi="Arial" w:cs="Arial"/>
              </w:rPr>
              <w:t xml:space="preserve">ost </w:t>
            </w:r>
            <w:r w:rsidR="000C3D78">
              <w:rPr>
                <w:rFonts w:ascii="Arial" w:hAnsi="Arial" w:cs="Arial"/>
              </w:rPr>
              <w:t>P</w:t>
            </w:r>
            <w:r w:rsidR="000C3D78" w:rsidRPr="00317152">
              <w:rPr>
                <w:rFonts w:ascii="Arial" w:hAnsi="Arial" w:cs="Arial"/>
              </w:rPr>
              <w:t xml:space="preserve">roposal using the exact form provided in </w:t>
            </w:r>
            <w:r w:rsidR="000C3D78">
              <w:rPr>
                <w:rFonts w:ascii="Arial" w:hAnsi="Arial" w:cs="Arial"/>
              </w:rPr>
              <w:t xml:space="preserve">Attachment </w:t>
            </w:r>
            <w:r w:rsidR="00E142D9">
              <w:rPr>
                <w:rFonts w:ascii="Arial" w:hAnsi="Arial" w:cs="Arial"/>
              </w:rPr>
              <w:t>C</w:t>
            </w:r>
            <w:r w:rsidR="000C3D78" w:rsidRPr="00317152">
              <w:rPr>
                <w:rFonts w:ascii="Arial" w:hAnsi="Arial" w:cs="Arial"/>
              </w:rPr>
              <w:t xml:space="preserve"> may result in </w:t>
            </w:r>
            <w:r w:rsidR="000C3D78">
              <w:rPr>
                <w:rFonts w:ascii="Arial" w:hAnsi="Arial" w:cs="Arial"/>
              </w:rPr>
              <w:t>the</w:t>
            </w:r>
            <w:r w:rsidR="000C3D78" w:rsidRPr="00317152">
              <w:rPr>
                <w:rFonts w:ascii="Arial" w:hAnsi="Arial" w:cs="Arial"/>
              </w:rPr>
              <w:t xml:space="preserve"> </w:t>
            </w:r>
            <w:r w:rsidR="000C3D78">
              <w:rPr>
                <w:rFonts w:ascii="Arial" w:hAnsi="Arial" w:cs="Arial"/>
              </w:rPr>
              <w:t>Proposal</w:t>
            </w:r>
            <w:r w:rsidR="000C3D78" w:rsidRPr="00317152">
              <w:rPr>
                <w:rFonts w:ascii="Arial" w:hAnsi="Arial" w:cs="Arial"/>
              </w:rPr>
              <w:t xml:space="preserve"> being disqualified and rejected. No mention of the </w:t>
            </w:r>
            <w:r w:rsidR="000C3D78">
              <w:rPr>
                <w:rFonts w:ascii="Arial" w:hAnsi="Arial" w:cs="Arial"/>
              </w:rPr>
              <w:t>C</w:t>
            </w:r>
            <w:r w:rsidR="000C3D78" w:rsidRPr="00317152">
              <w:rPr>
                <w:rFonts w:ascii="Arial" w:hAnsi="Arial" w:cs="Arial"/>
              </w:rPr>
              <w:t xml:space="preserve">ost </w:t>
            </w:r>
            <w:r w:rsidR="000C3D78">
              <w:rPr>
                <w:rFonts w:ascii="Arial" w:hAnsi="Arial" w:cs="Arial"/>
              </w:rPr>
              <w:t>P</w:t>
            </w:r>
            <w:r w:rsidR="000C3D78" w:rsidRPr="00317152">
              <w:rPr>
                <w:rFonts w:ascii="Arial" w:hAnsi="Arial" w:cs="Arial"/>
              </w:rPr>
              <w:t>roposal may be made in any other pa</w:t>
            </w:r>
            <w:r w:rsidR="000C3D78">
              <w:rPr>
                <w:rFonts w:ascii="Arial" w:hAnsi="Arial" w:cs="Arial"/>
              </w:rPr>
              <w:t xml:space="preserve">rt of the </w:t>
            </w:r>
            <w:r w:rsidR="00EB45C2" w:rsidRPr="00EB45C2">
              <w:rPr>
                <w:rFonts w:ascii="Arial" w:hAnsi="Arial" w:cs="Arial"/>
              </w:rPr>
              <w:t>Proposal</w:t>
            </w:r>
            <w:r w:rsidR="000C3D78">
              <w:rPr>
                <w:rFonts w:ascii="Arial" w:hAnsi="Arial" w:cs="Arial"/>
              </w:rPr>
              <w:t xml:space="preserve">. The sealed </w:t>
            </w:r>
            <w:r w:rsidR="000C3D78">
              <w:rPr>
                <w:rFonts w:ascii="Arial" w:hAnsi="Arial" w:cs="Arial"/>
              </w:rPr>
              <w:lastRenderedPageBreak/>
              <w:t>Cost Proposal must be submitted per the requirements in Section 2.3</w:t>
            </w:r>
            <w:r>
              <w:rPr>
                <w:rFonts w:ascii="Arial" w:hAnsi="Arial" w:cs="Arial"/>
              </w:rPr>
              <w:t xml:space="preserve"> Submitting the Proposal</w:t>
            </w:r>
            <w:r w:rsidR="000C3D78">
              <w:rPr>
                <w:rFonts w:ascii="Arial" w:hAnsi="Arial" w:cs="Arial"/>
              </w:rPr>
              <w:t>.</w:t>
            </w:r>
          </w:p>
        </w:tc>
      </w:tr>
    </w:tbl>
    <w:p w14:paraId="5B4130A8" w14:textId="77777777" w:rsidR="006456A2" w:rsidRPr="00273653" w:rsidRDefault="006456A2" w:rsidP="00644C74">
      <w:pPr>
        <w:pStyle w:val="Heading2"/>
        <w:ind w:left="720" w:hanging="720"/>
      </w:pPr>
      <w:r w:rsidRPr="00C94564">
        <w:lastRenderedPageBreak/>
        <w:t>Multiple</w:t>
      </w:r>
      <w:r w:rsidRPr="00273653">
        <w:t xml:space="preserve"> Proposals</w:t>
      </w:r>
    </w:p>
    <w:p w14:paraId="6EF4772B" w14:textId="77777777" w:rsidR="005167C7" w:rsidRPr="00273653" w:rsidRDefault="005167C7" w:rsidP="005167C7">
      <w:pPr>
        <w:pStyle w:val="LRWLBodyText"/>
        <w:rPr>
          <w:rFonts w:cs="Arial"/>
        </w:rPr>
      </w:pPr>
      <w:r w:rsidRPr="00273653">
        <w:rPr>
          <w:rFonts w:cs="Arial"/>
        </w:rPr>
        <w:t xml:space="preserve">Multiple Proposals </w:t>
      </w:r>
      <w:r>
        <w:rPr>
          <w:rFonts w:cs="Arial"/>
        </w:rPr>
        <w:t>from a Proposer will not be accepted.</w:t>
      </w:r>
    </w:p>
    <w:p w14:paraId="338C9A2B" w14:textId="77777777" w:rsidR="006456A2" w:rsidRPr="00273653" w:rsidRDefault="006456A2" w:rsidP="00644C74">
      <w:pPr>
        <w:pStyle w:val="Heading2"/>
        <w:ind w:left="720" w:hanging="720"/>
      </w:pPr>
      <w:r w:rsidRPr="00C94564">
        <w:t>Withdrawal</w:t>
      </w:r>
      <w:r w:rsidRPr="00273653">
        <w:t xml:space="preserve"> of Proposals</w:t>
      </w:r>
    </w:p>
    <w:p w14:paraId="34032CAD" w14:textId="29298573" w:rsidR="008E180B" w:rsidRPr="00273653" w:rsidRDefault="006456A2" w:rsidP="006456A2">
      <w:pPr>
        <w:pStyle w:val="LRWLBodyText"/>
        <w:rPr>
          <w:rFonts w:cs="Arial"/>
        </w:rPr>
      </w:pPr>
      <w:r w:rsidRPr="00273653">
        <w:rPr>
          <w:rFonts w:cs="Arial"/>
        </w:rPr>
        <w:t xml:space="preserve">Proposals shall be irrevocable until </w:t>
      </w:r>
      <w:r w:rsidR="009D2C53">
        <w:rPr>
          <w:rFonts w:cs="Arial"/>
        </w:rPr>
        <w:t xml:space="preserve">the </w:t>
      </w:r>
      <w:r w:rsidR="00D83F81" w:rsidRPr="00273653">
        <w:rPr>
          <w:rFonts w:cs="Arial"/>
        </w:rPr>
        <w:t>C</w:t>
      </w:r>
      <w:r w:rsidRPr="00273653">
        <w:rPr>
          <w:rFonts w:cs="Arial"/>
        </w:rPr>
        <w:t xml:space="preserve">ontract </w:t>
      </w:r>
      <w:r w:rsidR="009D2C53">
        <w:rPr>
          <w:rFonts w:cs="Arial"/>
        </w:rPr>
        <w:t xml:space="preserve">is </w:t>
      </w:r>
      <w:r w:rsidRPr="00273653">
        <w:rPr>
          <w:rFonts w:cs="Arial"/>
        </w:rPr>
        <w:t>award</w:t>
      </w:r>
      <w:r w:rsidR="009D2C53">
        <w:rPr>
          <w:rFonts w:cs="Arial"/>
        </w:rPr>
        <w:t>ed</w:t>
      </w:r>
      <w:r w:rsidRPr="00273653">
        <w:rPr>
          <w:rFonts w:cs="Arial"/>
        </w:rPr>
        <w:t xml:space="preserve"> unless the Proposal is withdrawn. Proposers may withdraw a Proposal in writing at any time up to the date and time listed in Section 1.</w:t>
      </w:r>
      <w:r w:rsidR="009B7AB5">
        <w:rPr>
          <w:rFonts w:cs="Arial"/>
        </w:rPr>
        <w:t>9</w:t>
      </w:r>
      <w:r w:rsidRPr="00273653">
        <w:rPr>
          <w:rFonts w:cs="Arial"/>
        </w:rPr>
        <w:t xml:space="preserve"> </w:t>
      </w:r>
      <w:r w:rsidR="0047447D">
        <w:rPr>
          <w:rFonts w:cs="Arial"/>
        </w:rPr>
        <w:t xml:space="preserve">Calendar of Events </w:t>
      </w:r>
      <w:r w:rsidRPr="00273653">
        <w:rPr>
          <w:rFonts w:cs="Arial"/>
        </w:rPr>
        <w:t xml:space="preserve">on the Proposal closing date or upon expiration of three (3) </w:t>
      </w:r>
      <w:r w:rsidR="002D71AF">
        <w:rPr>
          <w:rFonts w:cs="Arial"/>
        </w:rPr>
        <w:t>C</w:t>
      </w:r>
      <w:r w:rsidRPr="00273653">
        <w:rPr>
          <w:rFonts w:cs="Arial"/>
        </w:rPr>
        <w:t xml:space="preserve">alendar </w:t>
      </w:r>
      <w:r w:rsidR="002D71AF">
        <w:rPr>
          <w:rFonts w:cs="Arial"/>
        </w:rPr>
        <w:t>D</w:t>
      </w:r>
      <w:r w:rsidRPr="00273653">
        <w:rPr>
          <w:rFonts w:cs="Arial"/>
        </w:rPr>
        <w:t xml:space="preserve">ays after the Proposal </w:t>
      </w:r>
      <w:r w:rsidR="00284E05">
        <w:rPr>
          <w:rFonts w:cs="Arial"/>
        </w:rPr>
        <w:t>Due Date</w:t>
      </w:r>
      <w:r w:rsidRPr="00273653">
        <w:rPr>
          <w:rFonts w:cs="Arial"/>
        </w:rPr>
        <w:t xml:space="preserve"> and time if received by ETF. To accomplish this, the written request must be signed by an authorized representative of the Proposer and submitted to the</w:t>
      </w:r>
      <w:r w:rsidR="00284E05">
        <w:rPr>
          <w:rFonts w:cs="Arial"/>
        </w:rPr>
        <w:t xml:space="preserve"> contact listed in</w:t>
      </w:r>
      <w:r w:rsidRPr="00273653">
        <w:rPr>
          <w:rFonts w:cs="Arial"/>
        </w:rPr>
        <w:t xml:space="preserve"> </w:t>
      </w:r>
      <w:r w:rsidR="007E241E" w:rsidRPr="00273653">
        <w:rPr>
          <w:rFonts w:cs="Arial"/>
        </w:rPr>
        <w:t>Section 1.</w:t>
      </w:r>
      <w:r w:rsidR="009B7AB5">
        <w:rPr>
          <w:rFonts w:cs="Arial"/>
        </w:rPr>
        <w:t>4</w:t>
      </w:r>
      <w:r w:rsidR="0047447D">
        <w:rPr>
          <w:rFonts w:cs="Arial"/>
        </w:rPr>
        <w:t xml:space="preserve"> Procuring and Contracting Agency</w:t>
      </w:r>
      <w:r w:rsidRPr="00273653">
        <w:rPr>
          <w:rFonts w:cs="Arial"/>
        </w:rPr>
        <w:t xml:space="preserve">. If a previously submitted Proposal is withdrawn before the Proposal </w:t>
      </w:r>
      <w:r w:rsidR="00284E05">
        <w:rPr>
          <w:rFonts w:cs="Arial"/>
        </w:rPr>
        <w:t>Due Date</w:t>
      </w:r>
      <w:r w:rsidRPr="00273653">
        <w:rPr>
          <w:rFonts w:cs="Arial"/>
        </w:rPr>
        <w:t>, the Proposer may submit another Proposal at any</w:t>
      </w:r>
      <w:r w:rsidR="007E241E" w:rsidRPr="00273653">
        <w:rPr>
          <w:rFonts w:cs="Arial"/>
        </w:rPr>
        <w:t xml:space="preserve"> time up to the Proposal </w:t>
      </w:r>
      <w:r w:rsidR="00284E05">
        <w:rPr>
          <w:rFonts w:cs="Arial"/>
        </w:rPr>
        <w:t>D</w:t>
      </w:r>
      <w:r w:rsidR="007E241E" w:rsidRPr="00273653">
        <w:rPr>
          <w:rFonts w:cs="Arial"/>
        </w:rPr>
        <w:t>ue</w:t>
      </w:r>
      <w:r w:rsidRPr="00273653">
        <w:rPr>
          <w:rFonts w:cs="Arial"/>
        </w:rPr>
        <w:t xml:space="preserve"> </w:t>
      </w:r>
      <w:r w:rsidR="00284E05">
        <w:rPr>
          <w:rFonts w:cs="Arial"/>
        </w:rPr>
        <w:t>D</w:t>
      </w:r>
      <w:r w:rsidRPr="00273653">
        <w:rPr>
          <w:rFonts w:cs="Arial"/>
        </w:rPr>
        <w:t>ate and time.</w:t>
      </w:r>
    </w:p>
    <w:p w14:paraId="78D5C681" w14:textId="01DA6C97" w:rsidR="006456A2" w:rsidRPr="00273653" w:rsidRDefault="006456A2" w:rsidP="001E656B">
      <w:pPr>
        <w:pStyle w:val="Heading1"/>
        <w:tabs>
          <w:tab w:val="num" w:pos="4230"/>
        </w:tabs>
        <w:ind w:left="360" w:hanging="360"/>
      </w:pPr>
      <w:bookmarkStart w:id="13" w:name="_Toc398562524"/>
      <w:bookmarkStart w:id="14" w:name="_Toc448905182"/>
      <w:r w:rsidRPr="00273653">
        <w:t>Proposal Selection and Award Process</w:t>
      </w:r>
      <w:bookmarkEnd w:id="13"/>
      <w:bookmarkEnd w:id="14"/>
    </w:p>
    <w:p w14:paraId="3C2D4504" w14:textId="77777777" w:rsidR="006456A2" w:rsidRPr="00273653" w:rsidRDefault="006456A2" w:rsidP="00644C74">
      <w:pPr>
        <w:pStyle w:val="Heading2"/>
        <w:ind w:left="720" w:hanging="720"/>
      </w:pPr>
      <w:r w:rsidRPr="00C94564">
        <w:t>Preliminary</w:t>
      </w:r>
      <w:r w:rsidRPr="00273653">
        <w:t xml:space="preserve"> Evaluation</w:t>
      </w:r>
    </w:p>
    <w:p w14:paraId="2FBD7190" w14:textId="0D6F63DF" w:rsidR="00317152" w:rsidRPr="00273653" w:rsidRDefault="00317152" w:rsidP="006456A2">
      <w:pPr>
        <w:pStyle w:val="LRWLBodyText"/>
        <w:rPr>
          <w:rFonts w:cs="Arial"/>
        </w:rPr>
      </w:pPr>
      <w:r w:rsidRPr="00317152">
        <w:rPr>
          <w:rFonts w:cs="Arial"/>
        </w:rPr>
        <w:t xml:space="preserve">Proposals will initially be reviewed to determine if </w:t>
      </w:r>
      <w:r w:rsidR="00284E05">
        <w:rPr>
          <w:rFonts w:cs="Arial"/>
        </w:rPr>
        <w:t>M</w:t>
      </w:r>
      <w:r w:rsidRPr="00317152">
        <w:rPr>
          <w:rFonts w:cs="Arial"/>
        </w:rPr>
        <w:t xml:space="preserve">andatory requirements are met. Failure to meet </w:t>
      </w:r>
      <w:r w:rsidR="00284E05">
        <w:rPr>
          <w:rFonts w:cs="Arial"/>
        </w:rPr>
        <w:t>M</w:t>
      </w:r>
      <w:r w:rsidRPr="00317152">
        <w:rPr>
          <w:rFonts w:cs="Arial"/>
        </w:rPr>
        <w:t>andatory requirements as stated in A</w:t>
      </w:r>
      <w:r>
        <w:rPr>
          <w:rFonts w:cs="Arial"/>
        </w:rPr>
        <w:t>ttachment</w:t>
      </w:r>
      <w:r w:rsidRPr="00317152">
        <w:rPr>
          <w:rFonts w:cs="Arial"/>
        </w:rPr>
        <w:t xml:space="preserve"> </w:t>
      </w:r>
      <w:r w:rsidR="00B30D27">
        <w:rPr>
          <w:rFonts w:cs="Arial"/>
        </w:rPr>
        <w:t xml:space="preserve">B Mandatory </w:t>
      </w:r>
      <w:r w:rsidR="00FD510B">
        <w:rPr>
          <w:rFonts w:cs="Arial"/>
        </w:rPr>
        <w:t>Proposer</w:t>
      </w:r>
      <w:r w:rsidR="00B30D27">
        <w:rPr>
          <w:rFonts w:cs="Arial"/>
        </w:rPr>
        <w:t xml:space="preserve"> </w:t>
      </w:r>
      <w:r w:rsidR="0039414A">
        <w:rPr>
          <w:rFonts w:cs="Arial"/>
        </w:rPr>
        <w:t>Qualifications</w:t>
      </w:r>
      <w:r w:rsidRPr="00317152">
        <w:rPr>
          <w:rFonts w:cs="Arial"/>
        </w:rPr>
        <w:t xml:space="preserve">, or failure to follow the required instructions for completing the </w:t>
      </w:r>
      <w:r w:rsidR="00284E05">
        <w:rPr>
          <w:rFonts w:cs="Arial"/>
        </w:rPr>
        <w:t>P</w:t>
      </w:r>
      <w:r w:rsidRPr="00317152">
        <w:rPr>
          <w:rFonts w:cs="Arial"/>
        </w:rPr>
        <w:t xml:space="preserve">roposal as specifically outlined in this </w:t>
      </w:r>
      <w:r w:rsidR="00B30D27">
        <w:rPr>
          <w:rFonts w:cs="Arial"/>
        </w:rPr>
        <w:t>RFP</w:t>
      </w:r>
      <w:r w:rsidR="00B30D27" w:rsidRPr="00317152">
        <w:rPr>
          <w:rFonts w:cs="Arial"/>
        </w:rPr>
        <w:t xml:space="preserve"> </w:t>
      </w:r>
      <w:r w:rsidRPr="00317152">
        <w:rPr>
          <w:rFonts w:cs="Arial"/>
        </w:rPr>
        <w:t xml:space="preserve">may result in rejection of the </w:t>
      </w:r>
      <w:r w:rsidR="0029723D">
        <w:rPr>
          <w:rFonts w:cs="Arial"/>
        </w:rPr>
        <w:t>Proposal</w:t>
      </w:r>
      <w:r w:rsidRPr="00317152">
        <w:rPr>
          <w:rFonts w:cs="Arial"/>
        </w:rPr>
        <w:t>.</w:t>
      </w:r>
    </w:p>
    <w:p w14:paraId="11BA6341" w14:textId="77777777" w:rsidR="006456A2" w:rsidRPr="00273653" w:rsidRDefault="006456A2" w:rsidP="00644C74">
      <w:pPr>
        <w:pStyle w:val="Heading2"/>
        <w:ind w:left="720" w:hanging="720"/>
      </w:pPr>
      <w:r w:rsidRPr="00273653">
        <w:t xml:space="preserve">Clarification </w:t>
      </w:r>
      <w:r w:rsidRPr="00C94564">
        <w:t>Process</w:t>
      </w:r>
    </w:p>
    <w:p w14:paraId="367E6218" w14:textId="5A30943D" w:rsidR="006456A2" w:rsidRPr="00273653" w:rsidRDefault="006456A2" w:rsidP="006456A2">
      <w:pPr>
        <w:pStyle w:val="LRWLBodyText"/>
        <w:rPr>
          <w:rFonts w:cs="Arial"/>
        </w:rPr>
      </w:pPr>
      <w:r w:rsidRPr="00273653">
        <w:rPr>
          <w:rFonts w:cs="Arial"/>
        </w:rPr>
        <w:t>Clarifications from Proposers may be requested by ETF for the purpose of clarifying ambiguities or questioning informa</w:t>
      </w:r>
      <w:r w:rsidR="00330F4B">
        <w:rPr>
          <w:rFonts w:cs="Arial"/>
        </w:rPr>
        <w:t>tion presented in the Proposal.</w:t>
      </w:r>
      <w:r w:rsidRPr="00273653">
        <w:rPr>
          <w:rFonts w:cs="Arial"/>
        </w:rPr>
        <w:t xml:space="preserve"> Clarifications may occur throughout the Proposal evaluation process. Clarification requests will include appropriate references to th</w:t>
      </w:r>
      <w:r w:rsidR="00EB45C2">
        <w:rPr>
          <w:rFonts w:cs="Arial"/>
        </w:rPr>
        <w:t>is</w:t>
      </w:r>
      <w:r w:rsidRPr="00273653">
        <w:rPr>
          <w:rFonts w:cs="Arial"/>
        </w:rPr>
        <w:t xml:space="preserve"> RFP or</w:t>
      </w:r>
      <w:r w:rsidR="00B56EE6">
        <w:rPr>
          <w:rFonts w:cs="Arial"/>
        </w:rPr>
        <w:t xml:space="preserve"> the Proposal. </w:t>
      </w:r>
      <w:r w:rsidRPr="00273653">
        <w:rPr>
          <w:rFonts w:cs="Arial"/>
        </w:rPr>
        <w:t>Clarification responses shall be in writing and shall address o</w:t>
      </w:r>
      <w:r w:rsidR="00B56EE6">
        <w:rPr>
          <w:rFonts w:cs="Arial"/>
        </w:rPr>
        <w:t>nly th</w:t>
      </w:r>
      <w:r w:rsidR="007B0B4F">
        <w:rPr>
          <w:rFonts w:cs="Arial"/>
        </w:rPr>
        <w:t>e</w:t>
      </w:r>
      <w:r w:rsidR="00B56EE6">
        <w:rPr>
          <w:rFonts w:cs="Arial"/>
        </w:rPr>
        <w:t xml:space="preserve"> information requested. </w:t>
      </w:r>
      <w:r w:rsidRPr="00273653">
        <w:rPr>
          <w:rFonts w:cs="Arial"/>
        </w:rPr>
        <w:t>Responses shall be submitted to ETF within the time required.</w:t>
      </w:r>
    </w:p>
    <w:p w14:paraId="29861660" w14:textId="77777777" w:rsidR="006456A2" w:rsidRPr="00273653" w:rsidRDefault="006456A2" w:rsidP="00644C74">
      <w:pPr>
        <w:pStyle w:val="Heading2"/>
        <w:ind w:left="720" w:hanging="720"/>
      </w:pPr>
      <w:r w:rsidRPr="00C94564">
        <w:t>Proposal</w:t>
      </w:r>
      <w:r w:rsidRPr="00273653">
        <w:t xml:space="preserve"> Scoring</w:t>
      </w:r>
    </w:p>
    <w:p w14:paraId="18152AAF" w14:textId="0D110FF5" w:rsidR="0047752C" w:rsidRDefault="0047752C" w:rsidP="0047752C">
      <w:pPr>
        <w:pStyle w:val="LRWLBodyText"/>
        <w:rPr>
          <w:rFonts w:cs="Arial"/>
        </w:rPr>
      </w:pPr>
      <w:r w:rsidRPr="0047752C">
        <w:rPr>
          <w:rFonts w:cs="Arial"/>
        </w:rPr>
        <w:t xml:space="preserve">Proposals that pass the preliminary evaluation may be reviewed by an evaluation committee and scored against </w:t>
      </w:r>
      <w:r>
        <w:rPr>
          <w:rFonts w:cs="Arial"/>
        </w:rPr>
        <w:t xml:space="preserve">predetermined </w:t>
      </w:r>
      <w:r w:rsidRPr="0047752C">
        <w:rPr>
          <w:rFonts w:cs="Arial"/>
        </w:rPr>
        <w:t xml:space="preserve">criteria. The committee may review written </w:t>
      </w:r>
      <w:r w:rsidR="0029723D">
        <w:rPr>
          <w:rFonts w:cs="Arial"/>
        </w:rPr>
        <w:t>Proposal</w:t>
      </w:r>
      <w:r w:rsidRPr="0047752C">
        <w:rPr>
          <w:rFonts w:cs="Arial"/>
        </w:rPr>
        <w:t xml:space="preserve">s, references, additional clarifications, oral presentations, site visits and other information to score </w:t>
      </w:r>
      <w:r w:rsidR="0029723D">
        <w:rPr>
          <w:rFonts w:cs="Arial"/>
        </w:rPr>
        <w:t>Proposal</w:t>
      </w:r>
      <w:r w:rsidRPr="0047752C">
        <w:rPr>
          <w:rFonts w:cs="Arial"/>
        </w:rPr>
        <w:t>s.</w:t>
      </w:r>
      <w:r w:rsidRPr="0047752C">
        <w:t xml:space="preserve"> </w:t>
      </w:r>
      <w:r>
        <w:rPr>
          <w:rFonts w:cs="Arial"/>
        </w:rPr>
        <w:t xml:space="preserve">ETF may request reports on a </w:t>
      </w:r>
      <w:r w:rsidR="00FD510B">
        <w:rPr>
          <w:rFonts w:cs="Arial"/>
        </w:rPr>
        <w:t>Proposer</w:t>
      </w:r>
      <w:r w:rsidRPr="0047752C">
        <w:rPr>
          <w:rFonts w:cs="Arial"/>
        </w:rPr>
        <w:t>'s financial stability, and if financial stability is n</w:t>
      </w:r>
      <w:r>
        <w:rPr>
          <w:rFonts w:cs="Arial"/>
        </w:rPr>
        <w:t xml:space="preserve">ot substantiated, may reject a </w:t>
      </w:r>
      <w:r w:rsidR="00FD510B">
        <w:rPr>
          <w:rFonts w:cs="Arial"/>
        </w:rPr>
        <w:t>Proposer</w:t>
      </w:r>
      <w:r w:rsidRPr="0047752C">
        <w:rPr>
          <w:rFonts w:cs="Arial"/>
        </w:rPr>
        <w:t xml:space="preserve">'s </w:t>
      </w:r>
      <w:r w:rsidR="0029723D">
        <w:rPr>
          <w:rFonts w:cs="Arial"/>
        </w:rPr>
        <w:t>Proposal</w:t>
      </w:r>
      <w:r w:rsidRPr="0047752C">
        <w:rPr>
          <w:rFonts w:cs="Arial"/>
        </w:rPr>
        <w:t>.</w:t>
      </w:r>
      <w:r>
        <w:rPr>
          <w:rFonts w:cs="Arial"/>
        </w:rPr>
        <w:t xml:space="preserve"> </w:t>
      </w:r>
      <w:r w:rsidRPr="0047752C">
        <w:rPr>
          <w:rFonts w:cs="Arial"/>
        </w:rPr>
        <w:t xml:space="preserve">ETF may request demonstrations of the </w:t>
      </w:r>
      <w:r w:rsidR="00FD510B">
        <w:rPr>
          <w:rFonts w:cs="Arial"/>
        </w:rPr>
        <w:t>Proposer</w:t>
      </w:r>
      <w:r w:rsidRPr="0047752C">
        <w:rPr>
          <w:rFonts w:cs="Arial"/>
        </w:rPr>
        <w:t>'s proposed products(s) and/or service(s), and review</w:t>
      </w:r>
      <w:r>
        <w:rPr>
          <w:rFonts w:cs="Arial"/>
        </w:rPr>
        <w:t xml:space="preserve"> results of past awards to the </w:t>
      </w:r>
      <w:r w:rsidR="00FD510B">
        <w:rPr>
          <w:rFonts w:cs="Arial"/>
        </w:rPr>
        <w:t>Proposer</w:t>
      </w:r>
      <w:r w:rsidRPr="0047752C">
        <w:rPr>
          <w:rFonts w:cs="Arial"/>
        </w:rPr>
        <w:t xml:space="preserve"> by the State of Wisconsin.</w:t>
      </w:r>
    </w:p>
    <w:p w14:paraId="7F132BD3" w14:textId="77777777" w:rsidR="006456A2" w:rsidRPr="00273653" w:rsidRDefault="006456A2" w:rsidP="006456A2">
      <w:pPr>
        <w:pStyle w:val="LRWLBodyText"/>
        <w:rPr>
          <w:rFonts w:cs="Arial"/>
        </w:rPr>
      </w:pPr>
      <w:r w:rsidRPr="00273653">
        <w:rPr>
          <w:rFonts w:cs="Arial"/>
        </w:rPr>
        <w:t>A Proposer may not contact any m</w:t>
      </w:r>
      <w:r w:rsidR="003C7E89" w:rsidRPr="00273653">
        <w:rPr>
          <w:rFonts w:cs="Arial"/>
        </w:rPr>
        <w:t xml:space="preserve">ember of the </w:t>
      </w:r>
      <w:r w:rsidR="00284E05">
        <w:rPr>
          <w:rFonts w:cs="Arial"/>
        </w:rPr>
        <w:t xml:space="preserve">RFP </w:t>
      </w:r>
      <w:r w:rsidR="003C7E89" w:rsidRPr="00273653">
        <w:rPr>
          <w:rFonts w:cs="Arial"/>
        </w:rPr>
        <w:t xml:space="preserve">evaluation </w:t>
      </w:r>
      <w:r w:rsidR="00B67B9C">
        <w:rPr>
          <w:rFonts w:cs="Arial"/>
        </w:rPr>
        <w:t>committee</w:t>
      </w:r>
      <w:r w:rsidRPr="00273653">
        <w:rPr>
          <w:rFonts w:cs="Arial"/>
        </w:rPr>
        <w:t>.</w:t>
      </w:r>
    </w:p>
    <w:p w14:paraId="1D853CF5" w14:textId="77777777" w:rsidR="0047752C" w:rsidRPr="0047752C" w:rsidRDefault="0047752C" w:rsidP="0047752C">
      <w:pPr>
        <w:pStyle w:val="LRWLBodyText"/>
        <w:rPr>
          <w:rFonts w:cs="Arial"/>
        </w:rPr>
      </w:pPr>
      <w:r w:rsidRPr="0047752C">
        <w:rPr>
          <w:rFonts w:cs="Arial"/>
        </w:rPr>
        <w:lastRenderedPageBreak/>
        <w:t xml:space="preserve">The evaluation committee's scoring will be tabulated and </w:t>
      </w:r>
      <w:r w:rsidR="0029723D">
        <w:rPr>
          <w:rFonts w:cs="Arial"/>
        </w:rPr>
        <w:t>Proposal</w:t>
      </w:r>
      <w:r w:rsidRPr="0047752C">
        <w:rPr>
          <w:rFonts w:cs="Arial"/>
        </w:rPr>
        <w:t>s will be ranked based on the numerical scores received.</w:t>
      </w:r>
    </w:p>
    <w:p w14:paraId="1B804DDC" w14:textId="1D3C9D95" w:rsidR="0047752C" w:rsidRDefault="0047752C" w:rsidP="006456A2">
      <w:pPr>
        <w:pStyle w:val="LRWLBodyText"/>
        <w:rPr>
          <w:rFonts w:cs="Arial"/>
        </w:rPr>
      </w:pPr>
      <w:r w:rsidRPr="0047752C">
        <w:rPr>
          <w:rFonts w:cs="Arial"/>
        </w:rPr>
        <w:t xml:space="preserve">The evaluation committee reserves the right to stop scoring a </w:t>
      </w:r>
      <w:r w:rsidR="0029723D">
        <w:rPr>
          <w:rFonts w:cs="Arial"/>
        </w:rPr>
        <w:t>Proposal</w:t>
      </w:r>
      <w:r w:rsidRPr="0047752C">
        <w:rPr>
          <w:rFonts w:cs="Arial"/>
        </w:rPr>
        <w:t xml:space="preserve"> at any point during the evaluation. If the committee chooses to do this, th</w:t>
      </w:r>
      <w:r w:rsidR="009A5D96">
        <w:rPr>
          <w:rFonts w:cs="Arial"/>
        </w:rPr>
        <w:t xml:space="preserve">e committee would compare each </w:t>
      </w:r>
      <w:r w:rsidR="00FD510B">
        <w:rPr>
          <w:rFonts w:cs="Arial"/>
        </w:rPr>
        <w:t>Proposer</w:t>
      </w:r>
      <w:r w:rsidRPr="0047752C">
        <w:rPr>
          <w:rFonts w:cs="Arial"/>
        </w:rPr>
        <w:t>’s sc</w:t>
      </w:r>
      <w:r w:rsidR="009A5D96">
        <w:rPr>
          <w:rFonts w:cs="Arial"/>
        </w:rPr>
        <w:t xml:space="preserve">ore to the highest score. If a </w:t>
      </w:r>
      <w:r w:rsidR="00FD510B">
        <w:rPr>
          <w:rFonts w:cs="Arial"/>
        </w:rPr>
        <w:t>Proposer</w:t>
      </w:r>
      <w:r w:rsidRPr="0047752C">
        <w:rPr>
          <w:rFonts w:cs="Arial"/>
        </w:rPr>
        <w:t>’s score is not reasonably apt to exceed the highest score during the rest of the scoring p</w:t>
      </w:r>
      <w:r w:rsidR="009A5D96">
        <w:rPr>
          <w:rFonts w:cs="Arial"/>
        </w:rPr>
        <w:t xml:space="preserve">rocess, no matter how well the </w:t>
      </w:r>
      <w:r w:rsidR="00FD510B">
        <w:rPr>
          <w:rFonts w:cs="Arial"/>
        </w:rPr>
        <w:t>Proposer</w:t>
      </w:r>
      <w:r w:rsidR="009A5D96">
        <w:rPr>
          <w:rFonts w:cs="Arial"/>
        </w:rPr>
        <w:t xml:space="preserve"> scores, either via that </w:t>
      </w:r>
      <w:r w:rsidR="00FD510B">
        <w:rPr>
          <w:rFonts w:cs="Arial"/>
        </w:rPr>
        <w:t>Proposer</w:t>
      </w:r>
      <w:r w:rsidRPr="0047752C">
        <w:rPr>
          <w:rFonts w:cs="Arial"/>
        </w:rPr>
        <w:t xml:space="preserve"> moving up in the ranking, or the highest scorer moving down in the ranking, the committee may remove the </w:t>
      </w:r>
      <w:r w:rsidR="0029723D">
        <w:rPr>
          <w:rFonts w:cs="Arial"/>
        </w:rPr>
        <w:t>Proposal</w:t>
      </w:r>
      <w:r w:rsidRPr="0047752C">
        <w:rPr>
          <w:rFonts w:cs="Arial"/>
        </w:rPr>
        <w:t xml:space="preserve"> from further consideration.</w:t>
      </w:r>
    </w:p>
    <w:p w14:paraId="2437B602" w14:textId="77777777" w:rsidR="006456A2" w:rsidRPr="00273653" w:rsidRDefault="006456A2" w:rsidP="00644C74">
      <w:pPr>
        <w:pStyle w:val="Heading2"/>
        <w:ind w:left="720" w:hanging="720"/>
      </w:pPr>
      <w:r w:rsidRPr="00C94564">
        <w:t>Evaluation</w:t>
      </w:r>
      <w:r w:rsidRPr="00273653">
        <w:t xml:space="preserve"> Criteria </w:t>
      </w:r>
    </w:p>
    <w:p w14:paraId="084E3057" w14:textId="70915C91" w:rsidR="006456A2" w:rsidRDefault="006456A2" w:rsidP="006456A2">
      <w:pPr>
        <w:rPr>
          <w:rFonts w:ascii="Arial" w:hAnsi="Arial" w:cs="Arial"/>
        </w:rPr>
      </w:pPr>
      <w:r w:rsidRPr="00273653">
        <w:rPr>
          <w:rFonts w:ascii="Arial" w:hAnsi="Arial" w:cs="Arial"/>
        </w:rPr>
        <w:t>Proposals will be evaluated based upon the proven ability of the Proposer to satisfy the requirements in an efficient, cost-effective manner, taking into account quality of service</w:t>
      </w:r>
      <w:r w:rsidR="000A6F08">
        <w:rPr>
          <w:rFonts w:ascii="Arial" w:hAnsi="Arial" w:cs="Arial"/>
        </w:rPr>
        <w:t xml:space="preserve">. </w:t>
      </w:r>
      <w:r w:rsidRPr="00273653">
        <w:rPr>
          <w:rFonts w:ascii="Arial" w:hAnsi="Arial" w:cs="Arial"/>
        </w:rPr>
        <w:t>Proposals will be scored using the following criteria:</w:t>
      </w:r>
    </w:p>
    <w:p w14:paraId="3AA12344" w14:textId="15449E42" w:rsidR="009733E4" w:rsidRPr="009733E4" w:rsidRDefault="009733E4" w:rsidP="009733E4">
      <w:pPr>
        <w:pStyle w:val="Caption"/>
        <w:rPr>
          <w:rFonts w:ascii="Arial" w:hAnsi="Arial" w:cs="Arial"/>
          <w:sz w:val="22"/>
          <w:szCs w:val="22"/>
        </w:rPr>
      </w:pPr>
      <w:r w:rsidRPr="0046721F">
        <w:rPr>
          <w:rFonts w:ascii="Arial" w:hAnsi="Arial" w:cs="Arial"/>
          <w:sz w:val="22"/>
          <w:szCs w:val="22"/>
        </w:rPr>
        <w:t xml:space="preserve">Table </w:t>
      </w:r>
      <w:r w:rsidR="00564C5E">
        <w:rPr>
          <w:rFonts w:ascii="Arial" w:hAnsi="Arial" w:cs="Arial"/>
          <w:sz w:val="22"/>
          <w:szCs w:val="22"/>
        </w:rPr>
        <w:t>5</w:t>
      </w:r>
      <w:r w:rsidRPr="0046721F">
        <w:rPr>
          <w:rFonts w:ascii="Arial" w:hAnsi="Arial" w:cs="Arial"/>
          <w:sz w:val="22"/>
          <w:szCs w:val="22"/>
        </w:rPr>
        <w:t xml:space="preserve"> Evaluation Criteria</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20" w:firstRow="1" w:lastRow="0" w:firstColumn="0" w:lastColumn="0" w:noHBand="0" w:noVBand="0"/>
      </w:tblPr>
      <w:tblGrid>
        <w:gridCol w:w="2425"/>
        <w:gridCol w:w="4185"/>
        <w:gridCol w:w="1594"/>
        <w:gridCol w:w="1146"/>
      </w:tblGrid>
      <w:tr w:rsidR="006456A2" w:rsidRPr="00273653" w14:paraId="6EA2C092" w14:textId="77777777" w:rsidTr="00F579E4">
        <w:trPr>
          <w:tblHeader/>
          <w:jc w:val="center"/>
        </w:trPr>
        <w:tc>
          <w:tcPr>
            <w:tcW w:w="2425" w:type="dxa"/>
            <w:tcBorders>
              <w:bottom w:val="single" w:sz="4" w:space="0" w:color="FFFFFF"/>
            </w:tcBorders>
            <w:shd w:val="clear" w:color="auto" w:fill="548DD4" w:themeFill="text2" w:themeFillTint="99"/>
            <w:vAlign w:val="center"/>
          </w:tcPr>
          <w:p w14:paraId="52D2C13E" w14:textId="77777777" w:rsidR="006456A2" w:rsidRPr="00273653" w:rsidRDefault="006456A2" w:rsidP="006456A2">
            <w:pPr>
              <w:pStyle w:val="LRWLTableHeader"/>
              <w:tabs>
                <w:tab w:val="left" w:pos="3870"/>
              </w:tabs>
              <w:rPr>
                <w:rFonts w:cs="Arial"/>
                <w:b/>
                <w:sz w:val="22"/>
              </w:rPr>
            </w:pPr>
            <w:r w:rsidRPr="00273653">
              <w:rPr>
                <w:rFonts w:cs="Arial"/>
                <w:b/>
                <w:sz w:val="22"/>
              </w:rPr>
              <w:t>RFP Section</w:t>
            </w:r>
          </w:p>
        </w:tc>
        <w:tc>
          <w:tcPr>
            <w:tcW w:w="4185" w:type="dxa"/>
            <w:tcBorders>
              <w:bottom w:val="single" w:sz="4" w:space="0" w:color="FFFFFF"/>
            </w:tcBorders>
            <w:shd w:val="clear" w:color="auto" w:fill="548DD4" w:themeFill="text2" w:themeFillTint="99"/>
          </w:tcPr>
          <w:p w14:paraId="7A4C43AF" w14:textId="77777777" w:rsidR="006456A2" w:rsidRPr="00273653" w:rsidRDefault="006456A2" w:rsidP="006456A2">
            <w:pPr>
              <w:pStyle w:val="LRWLTableHeader"/>
              <w:tabs>
                <w:tab w:val="left" w:pos="3870"/>
              </w:tabs>
              <w:rPr>
                <w:rFonts w:cs="Arial"/>
                <w:b/>
                <w:sz w:val="22"/>
              </w:rPr>
            </w:pPr>
            <w:r w:rsidRPr="00273653">
              <w:rPr>
                <w:rFonts w:cs="Arial"/>
                <w:b/>
                <w:sz w:val="22"/>
              </w:rPr>
              <w:t>Description</w:t>
            </w:r>
          </w:p>
        </w:tc>
        <w:tc>
          <w:tcPr>
            <w:tcW w:w="1594" w:type="dxa"/>
            <w:tcBorders>
              <w:bottom w:val="single" w:sz="4" w:space="0" w:color="FFFFFF"/>
            </w:tcBorders>
            <w:shd w:val="clear" w:color="auto" w:fill="548DD4" w:themeFill="text2" w:themeFillTint="99"/>
          </w:tcPr>
          <w:p w14:paraId="5ACD7A72" w14:textId="77777777" w:rsidR="006456A2" w:rsidRPr="00273653" w:rsidRDefault="006456A2" w:rsidP="006456A2">
            <w:pPr>
              <w:pStyle w:val="LRWLTableHeader"/>
              <w:tabs>
                <w:tab w:val="left" w:pos="3870"/>
              </w:tabs>
              <w:rPr>
                <w:rFonts w:cs="Arial"/>
                <w:b/>
                <w:sz w:val="22"/>
              </w:rPr>
            </w:pPr>
            <w:r w:rsidRPr="00273653">
              <w:rPr>
                <w:rFonts w:cs="Arial"/>
                <w:b/>
                <w:sz w:val="22"/>
              </w:rPr>
              <w:t>Total Points</w:t>
            </w:r>
          </w:p>
        </w:tc>
        <w:tc>
          <w:tcPr>
            <w:tcW w:w="1146" w:type="dxa"/>
            <w:tcBorders>
              <w:bottom w:val="single" w:sz="4" w:space="0" w:color="FFFFFF"/>
            </w:tcBorders>
            <w:shd w:val="clear" w:color="auto" w:fill="548DD4" w:themeFill="text2" w:themeFillTint="99"/>
          </w:tcPr>
          <w:p w14:paraId="17DF5A95" w14:textId="77777777" w:rsidR="006456A2" w:rsidRPr="00273653" w:rsidRDefault="006456A2" w:rsidP="00036812">
            <w:pPr>
              <w:pStyle w:val="LRWLTableHeader"/>
              <w:tabs>
                <w:tab w:val="left" w:pos="3870"/>
              </w:tabs>
              <w:rPr>
                <w:rFonts w:cs="Arial"/>
                <w:b/>
                <w:sz w:val="22"/>
              </w:rPr>
            </w:pPr>
            <w:r w:rsidRPr="00273653">
              <w:rPr>
                <w:rFonts w:cs="Arial"/>
                <w:b/>
                <w:sz w:val="22"/>
              </w:rPr>
              <w:t xml:space="preserve">% </w:t>
            </w:r>
          </w:p>
        </w:tc>
      </w:tr>
      <w:tr w:rsidR="006456A2" w:rsidRPr="00273653" w14:paraId="0B62A5E6" w14:textId="77777777" w:rsidTr="00F579E4">
        <w:trPr>
          <w:jc w:val="center"/>
        </w:trPr>
        <w:tc>
          <w:tcPr>
            <w:tcW w:w="2425" w:type="dxa"/>
            <w:shd w:val="clear" w:color="auto" w:fill="B8CCE4" w:themeFill="accent1" w:themeFillTint="66"/>
            <w:vAlign w:val="center"/>
          </w:tcPr>
          <w:p w14:paraId="74C294F3" w14:textId="1C5FA414" w:rsidR="006456A2" w:rsidRPr="00273653" w:rsidRDefault="006A5F95" w:rsidP="006456A2">
            <w:pPr>
              <w:pStyle w:val="LRWLTableText"/>
              <w:tabs>
                <w:tab w:val="left" w:pos="3870"/>
                <w:tab w:val="left" w:pos="8550"/>
              </w:tabs>
              <w:jc w:val="center"/>
              <w:rPr>
                <w:rFonts w:cs="Arial"/>
                <w:sz w:val="22"/>
                <w:szCs w:val="22"/>
              </w:rPr>
            </w:pPr>
            <w:r>
              <w:rPr>
                <w:rFonts w:cs="Arial"/>
                <w:sz w:val="22"/>
                <w:szCs w:val="22"/>
              </w:rPr>
              <w:t>6</w:t>
            </w:r>
          </w:p>
        </w:tc>
        <w:tc>
          <w:tcPr>
            <w:tcW w:w="4185" w:type="dxa"/>
            <w:shd w:val="clear" w:color="auto" w:fill="B8CCE4" w:themeFill="accent1" w:themeFillTint="66"/>
            <w:vAlign w:val="center"/>
          </w:tcPr>
          <w:p w14:paraId="67D92E7A" w14:textId="77777777" w:rsidR="006456A2" w:rsidRPr="00273653" w:rsidRDefault="006456A2" w:rsidP="00036812">
            <w:pPr>
              <w:pStyle w:val="LRWLTableText"/>
              <w:tabs>
                <w:tab w:val="left" w:pos="3870"/>
                <w:tab w:val="left" w:pos="8550"/>
              </w:tabs>
              <w:rPr>
                <w:rFonts w:cs="Arial"/>
                <w:sz w:val="22"/>
                <w:szCs w:val="22"/>
                <w:highlight w:val="yellow"/>
              </w:rPr>
            </w:pPr>
            <w:r w:rsidRPr="00273653">
              <w:rPr>
                <w:rFonts w:cs="Arial"/>
                <w:sz w:val="22"/>
                <w:szCs w:val="22"/>
              </w:rPr>
              <w:t xml:space="preserve">General </w:t>
            </w:r>
            <w:r w:rsidR="00036812">
              <w:rPr>
                <w:rFonts w:cs="Arial"/>
                <w:sz w:val="22"/>
                <w:szCs w:val="22"/>
              </w:rPr>
              <w:t>Questionnaire</w:t>
            </w:r>
          </w:p>
        </w:tc>
        <w:tc>
          <w:tcPr>
            <w:tcW w:w="1594" w:type="dxa"/>
            <w:shd w:val="clear" w:color="auto" w:fill="B8CCE4" w:themeFill="accent1" w:themeFillTint="66"/>
          </w:tcPr>
          <w:p w14:paraId="11D8F66F" w14:textId="33A37272" w:rsidR="006456A2" w:rsidRPr="00F579E4" w:rsidRDefault="00FC0AD6" w:rsidP="00777C6B">
            <w:pPr>
              <w:pStyle w:val="LRWLTableText"/>
              <w:tabs>
                <w:tab w:val="left" w:pos="3870"/>
                <w:tab w:val="left" w:pos="8550"/>
              </w:tabs>
              <w:jc w:val="center"/>
              <w:rPr>
                <w:rFonts w:cs="Arial"/>
                <w:sz w:val="22"/>
                <w:szCs w:val="22"/>
              </w:rPr>
            </w:pPr>
            <w:r w:rsidRPr="00F579E4">
              <w:rPr>
                <w:rFonts w:cs="Arial"/>
                <w:sz w:val="22"/>
                <w:szCs w:val="22"/>
              </w:rPr>
              <w:t>400</w:t>
            </w:r>
          </w:p>
        </w:tc>
        <w:tc>
          <w:tcPr>
            <w:tcW w:w="1146" w:type="dxa"/>
            <w:shd w:val="clear" w:color="auto" w:fill="B8CCE4" w:themeFill="accent1" w:themeFillTint="66"/>
          </w:tcPr>
          <w:p w14:paraId="4B72BA51" w14:textId="6A598117" w:rsidR="006456A2" w:rsidRPr="00CE2FEA" w:rsidRDefault="00BC5984" w:rsidP="006456A2">
            <w:pPr>
              <w:pStyle w:val="LRWLTableText"/>
              <w:tabs>
                <w:tab w:val="left" w:pos="3870"/>
                <w:tab w:val="left" w:pos="8550"/>
              </w:tabs>
              <w:jc w:val="center"/>
              <w:rPr>
                <w:rFonts w:cs="Arial"/>
                <w:sz w:val="22"/>
                <w:szCs w:val="22"/>
              </w:rPr>
            </w:pPr>
            <w:r>
              <w:rPr>
                <w:rFonts w:cs="Arial"/>
                <w:sz w:val="22"/>
                <w:szCs w:val="22"/>
              </w:rPr>
              <w:t>26</w:t>
            </w:r>
          </w:p>
        </w:tc>
      </w:tr>
      <w:tr w:rsidR="006456A2" w:rsidRPr="00273653" w14:paraId="55AB74B4" w14:textId="77777777" w:rsidTr="00F579E4">
        <w:trPr>
          <w:jc w:val="center"/>
        </w:trPr>
        <w:tc>
          <w:tcPr>
            <w:tcW w:w="2425" w:type="dxa"/>
            <w:shd w:val="clear" w:color="auto" w:fill="B8CCE4" w:themeFill="accent1" w:themeFillTint="66"/>
            <w:vAlign w:val="center"/>
          </w:tcPr>
          <w:p w14:paraId="62830E51" w14:textId="1C265654" w:rsidR="006456A2" w:rsidRPr="00273653" w:rsidRDefault="006A5F95" w:rsidP="006456A2">
            <w:pPr>
              <w:pStyle w:val="LRWLTableText"/>
              <w:tabs>
                <w:tab w:val="left" w:pos="3870"/>
                <w:tab w:val="left" w:pos="8550"/>
              </w:tabs>
              <w:jc w:val="center"/>
              <w:rPr>
                <w:rFonts w:cs="Arial"/>
                <w:sz w:val="22"/>
                <w:szCs w:val="22"/>
              </w:rPr>
            </w:pPr>
            <w:r>
              <w:rPr>
                <w:rFonts w:cs="Arial"/>
                <w:sz w:val="22"/>
                <w:szCs w:val="22"/>
              </w:rPr>
              <w:t>7</w:t>
            </w:r>
          </w:p>
        </w:tc>
        <w:tc>
          <w:tcPr>
            <w:tcW w:w="4185" w:type="dxa"/>
            <w:shd w:val="clear" w:color="auto" w:fill="B8CCE4" w:themeFill="accent1" w:themeFillTint="66"/>
            <w:vAlign w:val="center"/>
          </w:tcPr>
          <w:p w14:paraId="58C9283E" w14:textId="28115B7B" w:rsidR="006456A2" w:rsidRPr="00273653" w:rsidRDefault="00036812" w:rsidP="00F579E4">
            <w:pPr>
              <w:pStyle w:val="LRWLTableText"/>
              <w:tabs>
                <w:tab w:val="left" w:pos="3870"/>
                <w:tab w:val="left" w:pos="8550"/>
              </w:tabs>
              <w:jc w:val="left"/>
              <w:rPr>
                <w:rFonts w:cs="Arial"/>
                <w:sz w:val="22"/>
                <w:szCs w:val="22"/>
                <w:highlight w:val="yellow"/>
              </w:rPr>
            </w:pPr>
            <w:r>
              <w:rPr>
                <w:rFonts w:cs="Arial"/>
                <w:sz w:val="22"/>
                <w:szCs w:val="22"/>
              </w:rPr>
              <w:t>Third Party Administrative Services Questionnaire</w:t>
            </w:r>
          </w:p>
        </w:tc>
        <w:tc>
          <w:tcPr>
            <w:tcW w:w="1594" w:type="dxa"/>
            <w:shd w:val="clear" w:color="auto" w:fill="B8CCE4" w:themeFill="accent1" w:themeFillTint="66"/>
          </w:tcPr>
          <w:p w14:paraId="3819C52A" w14:textId="09435D5F" w:rsidR="006456A2" w:rsidRPr="00F579E4" w:rsidRDefault="00BC5984" w:rsidP="00BC5984">
            <w:pPr>
              <w:pStyle w:val="LRWLTableText"/>
              <w:tabs>
                <w:tab w:val="left" w:pos="3870"/>
                <w:tab w:val="left" w:pos="8550"/>
              </w:tabs>
              <w:jc w:val="center"/>
              <w:rPr>
                <w:rFonts w:cs="Arial"/>
                <w:sz w:val="22"/>
                <w:szCs w:val="22"/>
              </w:rPr>
            </w:pPr>
            <w:r>
              <w:rPr>
                <w:rFonts w:cs="Arial"/>
                <w:sz w:val="22"/>
                <w:szCs w:val="22"/>
              </w:rPr>
              <w:t>825</w:t>
            </w:r>
          </w:p>
        </w:tc>
        <w:tc>
          <w:tcPr>
            <w:tcW w:w="1146" w:type="dxa"/>
            <w:shd w:val="clear" w:color="auto" w:fill="B8CCE4" w:themeFill="accent1" w:themeFillTint="66"/>
          </w:tcPr>
          <w:p w14:paraId="4FADB2A6" w14:textId="04B15850" w:rsidR="006456A2" w:rsidRPr="00CE2FEA" w:rsidRDefault="00BC5984" w:rsidP="006456A2">
            <w:pPr>
              <w:pStyle w:val="LRWLTableText"/>
              <w:tabs>
                <w:tab w:val="left" w:pos="3870"/>
                <w:tab w:val="left" w:pos="8550"/>
              </w:tabs>
              <w:jc w:val="center"/>
              <w:rPr>
                <w:rFonts w:cs="Arial"/>
                <w:sz w:val="22"/>
                <w:szCs w:val="22"/>
              </w:rPr>
            </w:pPr>
            <w:r>
              <w:rPr>
                <w:rFonts w:cs="Arial"/>
                <w:sz w:val="22"/>
                <w:szCs w:val="22"/>
              </w:rPr>
              <w:t>54</w:t>
            </w:r>
          </w:p>
        </w:tc>
      </w:tr>
      <w:tr w:rsidR="006456A2" w:rsidRPr="00273653" w14:paraId="01009996" w14:textId="77777777" w:rsidTr="00F579E4">
        <w:trPr>
          <w:jc w:val="center"/>
        </w:trPr>
        <w:tc>
          <w:tcPr>
            <w:tcW w:w="2425" w:type="dxa"/>
            <w:tcBorders>
              <w:bottom w:val="single" w:sz="4" w:space="0" w:color="FFFFFF"/>
            </w:tcBorders>
            <w:shd w:val="clear" w:color="auto" w:fill="B8CCE4" w:themeFill="accent1" w:themeFillTint="66"/>
            <w:vAlign w:val="center"/>
          </w:tcPr>
          <w:p w14:paraId="2DA8F489" w14:textId="1C02EB9D" w:rsidR="006456A2" w:rsidRPr="00273653" w:rsidRDefault="00036812" w:rsidP="00B56EE6">
            <w:pPr>
              <w:pStyle w:val="LRWLTableText"/>
              <w:tabs>
                <w:tab w:val="left" w:pos="3870"/>
                <w:tab w:val="left" w:pos="8550"/>
              </w:tabs>
              <w:jc w:val="center"/>
              <w:rPr>
                <w:rFonts w:cs="Arial"/>
                <w:sz w:val="22"/>
                <w:szCs w:val="22"/>
              </w:rPr>
            </w:pPr>
            <w:r>
              <w:rPr>
                <w:rFonts w:cs="Arial"/>
                <w:sz w:val="22"/>
                <w:szCs w:val="22"/>
              </w:rPr>
              <w:t xml:space="preserve">Attachment </w:t>
            </w:r>
            <w:r w:rsidR="00E142D9">
              <w:rPr>
                <w:rFonts w:cs="Arial"/>
                <w:sz w:val="22"/>
                <w:szCs w:val="22"/>
              </w:rPr>
              <w:t>C</w:t>
            </w:r>
          </w:p>
        </w:tc>
        <w:tc>
          <w:tcPr>
            <w:tcW w:w="4185" w:type="dxa"/>
            <w:tcBorders>
              <w:bottom w:val="single" w:sz="4" w:space="0" w:color="FFFFFF"/>
            </w:tcBorders>
            <w:shd w:val="clear" w:color="auto" w:fill="B8CCE4" w:themeFill="accent1" w:themeFillTint="66"/>
            <w:vAlign w:val="center"/>
          </w:tcPr>
          <w:p w14:paraId="45B9E8C3" w14:textId="77777777" w:rsidR="006456A2" w:rsidRPr="00273653" w:rsidRDefault="006456A2" w:rsidP="006456A2">
            <w:pPr>
              <w:pStyle w:val="LRWLTableText"/>
              <w:tabs>
                <w:tab w:val="left" w:pos="3870"/>
                <w:tab w:val="left" w:pos="8550"/>
              </w:tabs>
              <w:rPr>
                <w:rFonts w:cs="Arial"/>
                <w:sz w:val="22"/>
                <w:szCs w:val="22"/>
              </w:rPr>
            </w:pPr>
            <w:r w:rsidRPr="00273653">
              <w:rPr>
                <w:rFonts w:cs="Arial"/>
                <w:sz w:val="22"/>
                <w:szCs w:val="22"/>
              </w:rPr>
              <w:t>Cost</w:t>
            </w:r>
            <w:r w:rsidR="00681F16" w:rsidRPr="00273653">
              <w:rPr>
                <w:rFonts w:cs="Arial"/>
                <w:sz w:val="22"/>
                <w:szCs w:val="22"/>
              </w:rPr>
              <w:t xml:space="preserve"> </w:t>
            </w:r>
            <w:r w:rsidR="00036812">
              <w:rPr>
                <w:rFonts w:cs="Arial"/>
                <w:sz w:val="22"/>
                <w:szCs w:val="22"/>
              </w:rPr>
              <w:t>Proposal</w:t>
            </w:r>
          </w:p>
        </w:tc>
        <w:tc>
          <w:tcPr>
            <w:tcW w:w="1594" w:type="dxa"/>
            <w:tcBorders>
              <w:bottom w:val="single" w:sz="4" w:space="0" w:color="FFFFFF"/>
            </w:tcBorders>
            <w:shd w:val="clear" w:color="auto" w:fill="B8CCE4" w:themeFill="accent1" w:themeFillTint="66"/>
          </w:tcPr>
          <w:p w14:paraId="08235523" w14:textId="2B46A334" w:rsidR="006456A2" w:rsidRPr="00E07520" w:rsidRDefault="00BC5984" w:rsidP="006456A2">
            <w:pPr>
              <w:pStyle w:val="LRWLTableText"/>
              <w:tabs>
                <w:tab w:val="left" w:pos="3870"/>
                <w:tab w:val="left" w:pos="8550"/>
              </w:tabs>
              <w:jc w:val="center"/>
              <w:rPr>
                <w:rFonts w:cs="Arial"/>
                <w:sz w:val="22"/>
                <w:szCs w:val="22"/>
                <w:highlight w:val="yellow"/>
              </w:rPr>
            </w:pPr>
            <w:r>
              <w:rPr>
                <w:rFonts w:cs="Arial"/>
                <w:sz w:val="22"/>
                <w:szCs w:val="22"/>
              </w:rPr>
              <w:t>300</w:t>
            </w:r>
          </w:p>
        </w:tc>
        <w:tc>
          <w:tcPr>
            <w:tcW w:w="1146" w:type="dxa"/>
            <w:tcBorders>
              <w:bottom w:val="single" w:sz="4" w:space="0" w:color="FFFFFF"/>
            </w:tcBorders>
            <w:shd w:val="clear" w:color="auto" w:fill="B8CCE4" w:themeFill="accent1" w:themeFillTint="66"/>
          </w:tcPr>
          <w:p w14:paraId="4E85E074" w14:textId="46C0523F" w:rsidR="006456A2" w:rsidRPr="00CE2FEA" w:rsidRDefault="00CE2FEA" w:rsidP="006456A2">
            <w:pPr>
              <w:pStyle w:val="LRWLTableText"/>
              <w:tabs>
                <w:tab w:val="left" w:pos="3870"/>
                <w:tab w:val="left" w:pos="8550"/>
              </w:tabs>
              <w:jc w:val="center"/>
              <w:rPr>
                <w:rFonts w:cs="Arial"/>
                <w:sz w:val="22"/>
                <w:szCs w:val="22"/>
              </w:rPr>
            </w:pPr>
            <w:r w:rsidRPr="00CE2FEA">
              <w:rPr>
                <w:rFonts w:cs="Arial"/>
                <w:sz w:val="22"/>
                <w:szCs w:val="22"/>
              </w:rPr>
              <w:t>20</w:t>
            </w:r>
          </w:p>
        </w:tc>
      </w:tr>
      <w:tr w:rsidR="006456A2" w:rsidRPr="00273653" w14:paraId="0F82D1A1" w14:textId="77777777" w:rsidTr="00F579E4">
        <w:trPr>
          <w:trHeight w:val="58"/>
          <w:jc w:val="center"/>
        </w:trPr>
        <w:tc>
          <w:tcPr>
            <w:tcW w:w="2425" w:type="dxa"/>
            <w:tcBorders>
              <w:bottom w:val="single" w:sz="4" w:space="0" w:color="auto"/>
            </w:tcBorders>
            <w:shd w:val="clear" w:color="auto" w:fill="B8CCE4" w:themeFill="accent1" w:themeFillTint="66"/>
            <w:vAlign w:val="center"/>
          </w:tcPr>
          <w:p w14:paraId="0F10C1FF" w14:textId="77777777" w:rsidR="006456A2" w:rsidRPr="00273653" w:rsidRDefault="006456A2" w:rsidP="006456A2">
            <w:pPr>
              <w:pStyle w:val="LRWLTableText"/>
              <w:tabs>
                <w:tab w:val="left" w:pos="3870"/>
                <w:tab w:val="left" w:pos="8550"/>
              </w:tabs>
              <w:rPr>
                <w:rFonts w:cs="Arial"/>
                <w:sz w:val="22"/>
                <w:szCs w:val="22"/>
              </w:rPr>
            </w:pPr>
          </w:p>
        </w:tc>
        <w:tc>
          <w:tcPr>
            <w:tcW w:w="4185" w:type="dxa"/>
            <w:tcBorders>
              <w:bottom w:val="single" w:sz="4" w:space="0" w:color="auto"/>
            </w:tcBorders>
            <w:shd w:val="clear" w:color="auto" w:fill="B8CCE4" w:themeFill="accent1" w:themeFillTint="66"/>
            <w:vAlign w:val="center"/>
          </w:tcPr>
          <w:p w14:paraId="10EF1774" w14:textId="2F7267F6" w:rsidR="006456A2" w:rsidRPr="00C94564" w:rsidRDefault="00FC0AD6" w:rsidP="006456A2">
            <w:pPr>
              <w:pStyle w:val="LRWLTableText"/>
              <w:tabs>
                <w:tab w:val="left" w:pos="3870"/>
                <w:tab w:val="left" w:pos="8550"/>
              </w:tabs>
              <w:rPr>
                <w:rFonts w:cs="Arial"/>
                <w:b/>
                <w:sz w:val="22"/>
                <w:szCs w:val="22"/>
              </w:rPr>
            </w:pPr>
            <w:r w:rsidRPr="00C94564">
              <w:rPr>
                <w:rFonts w:cs="Arial"/>
                <w:b/>
                <w:sz w:val="22"/>
                <w:szCs w:val="22"/>
              </w:rPr>
              <w:t xml:space="preserve">Proposal </w:t>
            </w:r>
            <w:r w:rsidR="006456A2" w:rsidRPr="00C94564">
              <w:rPr>
                <w:rFonts w:cs="Arial"/>
                <w:b/>
                <w:sz w:val="22"/>
                <w:szCs w:val="22"/>
              </w:rPr>
              <w:t>Total</w:t>
            </w:r>
          </w:p>
        </w:tc>
        <w:tc>
          <w:tcPr>
            <w:tcW w:w="1594" w:type="dxa"/>
            <w:tcBorders>
              <w:bottom w:val="single" w:sz="4" w:space="0" w:color="auto"/>
            </w:tcBorders>
            <w:shd w:val="clear" w:color="auto" w:fill="B8CCE4" w:themeFill="accent1" w:themeFillTint="66"/>
          </w:tcPr>
          <w:p w14:paraId="3F636484" w14:textId="580E1310" w:rsidR="006456A2" w:rsidRPr="00C94564" w:rsidRDefault="00BC5984" w:rsidP="006456A2">
            <w:pPr>
              <w:pStyle w:val="LRWLTableText"/>
              <w:tabs>
                <w:tab w:val="left" w:pos="3870"/>
                <w:tab w:val="left" w:pos="8550"/>
              </w:tabs>
              <w:jc w:val="center"/>
              <w:rPr>
                <w:rFonts w:cs="Arial"/>
                <w:b/>
                <w:sz w:val="22"/>
                <w:szCs w:val="22"/>
              </w:rPr>
            </w:pPr>
            <w:r>
              <w:rPr>
                <w:rFonts w:cs="Arial"/>
                <w:b/>
                <w:sz w:val="22"/>
                <w:szCs w:val="22"/>
              </w:rPr>
              <w:t>1525</w:t>
            </w:r>
          </w:p>
        </w:tc>
        <w:tc>
          <w:tcPr>
            <w:tcW w:w="1146" w:type="dxa"/>
            <w:tcBorders>
              <w:bottom w:val="single" w:sz="4" w:space="0" w:color="auto"/>
            </w:tcBorders>
            <w:shd w:val="clear" w:color="auto" w:fill="B8CCE4" w:themeFill="accent1" w:themeFillTint="66"/>
          </w:tcPr>
          <w:p w14:paraId="6313F3F4" w14:textId="2066D837" w:rsidR="006456A2" w:rsidRPr="00C94564" w:rsidRDefault="00B76F6F" w:rsidP="006456A2">
            <w:pPr>
              <w:pStyle w:val="LRWLTableText"/>
              <w:tabs>
                <w:tab w:val="left" w:pos="3870"/>
                <w:tab w:val="left" w:pos="8550"/>
              </w:tabs>
              <w:jc w:val="center"/>
              <w:rPr>
                <w:rFonts w:cs="Arial"/>
                <w:b/>
                <w:sz w:val="22"/>
                <w:szCs w:val="22"/>
              </w:rPr>
            </w:pPr>
            <w:r w:rsidRPr="00F579E4">
              <w:rPr>
                <w:rFonts w:cs="Arial"/>
                <w:b/>
                <w:sz w:val="22"/>
                <w:szCs w:val="22"/>
              </w:rPr>
              <w:t>100</w:t>
            </w:r>
          </w:p>
        </w:tc>
      </w:tr>
      <w:tr w:rsidR="00B76F6F" w:rsidRPr="00273653" w14:paraId="72DB5C7A" w14:textId="77777777" w:rsidTr="00F579E4">
        <w:trPr>
          <w:trHeight w:val="58"/>
          <w:jc w:val="center"/>
        </w:trPr>
        <w:tc>
          <w:tcPr>
            <w:tcW w:w="2425" w:type="dxa"/>
            <w:tcBorders>
              <w:top w:val="single" w:sz="4" w:space="0" w:color="auto"/>
            </w:tcBorders>
            <w:shd w:val="clear" w:color="auto" w:fill="548DD4" w:themeFill="text2" w:themeFillTint="99"/>
            <w:vAlign w:val="center"/>
          </w:tcPr>
          <w:p w14:paraId="1C1D9EB3" w14:textId="33C3C796" w:rsidR="00B76F6F" w:rsidRPr="00F579E4" w:rsidRDefault="00B76F6F" w:rsidP="00F579E4">
            <w:pPr>
              <w:pStyle w:val="LRWLTableHeader"/>
              <w:tabs>
                <w:tab w:val="left" w:pos="3870"/>
              </w:tabs>
              <w:rPr>
                <w:rFonts w:cs="Arial"/>
                <w:b/>
                <w:sz w:val="22"/>
              </w:rPr>
            </w:pPr>
            <w:r w:rsidRPr="00F579E4">
              <w:rPr>
                <w:rFonts w:cs="Arial"/>
                <w:b/>
                <w:sz w:val="22"/>
              </w:rPr>
              <w:t>top proposers only</w:t>
            </w:r>
          </w:p>
        </w:tc>
        <w:tc>
          <w:tcPr>
            <w:tcW w:w="4185" w:type="dxa"/>
            <w:tcBorders>
              <w:top w:val="single" w:sz="4" w:space="0" w:color="auto"/>
            </w:tcBorders>
            <w:shd w:val="clear" w:color="auto" w:fill="548DD4" w:themeFill="text2" w:themeFillTint="99"/>
          </w:tcPr>
          <w:p w14:paraId="375DF63F" w14:textId="2E3F87D6" w:rsidR="00B76F6F" w:rsidRPr="00F579E4" w:rsidRDefault="00B76F6F" w:rsidP="00F579E4">
            <w:pPr>
              <w:pStyle w:val="LRWLTableHeader"/>
              <w:tabs>
                <w:tab w:val="left" w:pos="3870"/>
              </w:tabs>
              <w:rPr>
                <w:rFonts w:cs="Arial"/>
                <w:b/>
                <w:sz w:val="22"/>
              </w:rPr>
            </w:pPr>
            <w:r w:rsidRPr="00273653">
              <w:rPr>
                <w:rFonts w:cs="Arial"/>
                <w:b/>
                <w:sz w:val="22"/>
              </w:rPr>
              <w:t>Description</w:t>
            </w:r>
          </w:p>
        </w:tc>
        <w:tc>
          <w:tcPr>
            <w:tcW w:w="1594" w:type="dxa"/>
            <w:tcBorders>
              <w:top w:val="single" w:sz="4" w:space="0" w:color="auto"/>
            </w:tcBorders>
            <w:shd w:val="clear" w:color="auto" w:fill="548DD4" w:themeFill="text2" w:themeFillTint="99"/>
          </w:tcPr>
          <w:p w14:paraId="2ABC91B9" w14:textId="564AF7A1" w:rsidR="00B76F6F" w:rsidRPr="00F579E4" w:rsidRDefault="00B76F6F" w:rsidP="00F579E4">
            <w:pPr>
              <w:pStyle w:val="LRWLTableHeader"/>
              <w:tabs>
                <w:tab w:val="left" w:pos="3870"/>
              </w:tabs>
              <w:rPr>
                <w:rFonts w:cs="Arial"/>
                <w:b/>
                <w:sz w:val="22"/>
              </w:rPr>
            </w:pPr>
            <w:r w:rsidRPr="00273653">
              <w:rPr>
                <w:rFonts w:cs="Arial"/>
                <w:b/>
                <w:sz w:val="22"/>
              </w:rPr>
              <w:t>Total Points</w:t>
            </w:r>
          </w:p>
        </w:tc>
        <w:tc>
          <w:tcPr>
            <w:tcW w:w="1146" w:type="dxa"/>
            <w:tcBorders>
              <w:top w:val="single" w:sz="4" w:space="0" w:color="auto"/>
            </w:tcBorders>
            <w:shd w:val="clear" w:color="auto" w:fill="548DD4" w:themeFill="text2" w:themeFillTint="99"/>
          </w:tcPr>
          <w:p w14:paraId="1F2F40F3" w14:textId="0FB93E1A" w:rsidR="00B76F6F" w:rsidRPr="00BC5984" w:rsidRDefault="00BC5984" w:rsidP="00F579E4">
            <w:pPr>
              <w:pStyle w:val="LRWLTableHeader"/>
              <w:tabs>
                <w:tab w:val="left" w:pos="3870"/>
              </w:tabs>
              <w:rPr>
                <w:rFonts w:cs="Arial"/>
                <w:b/>
                <w:sz w:val="22"/>
              </w:rPr>
            </w:pPr>
            <w:r>
              <w:rPr>
                <w:rFonts w:cs="Arial"/>
                <w:b/>
                <w:sz w:val="22"/>
              </w:rPr>
              <w:t>%</w:t>
            </w:r>
          </w:p>
        </w:tc>
      </w:tr>
      <w:tr w:rsidR="00FC0AD6" w:rsidRPr="00273653" w14:paraId="45327772" w14:textId="77777777" w:rsidTr="00F579E4">
        <w:trPr>
          <w:trHeight w:val="58"/>
          <w:jc w:val="center"/>
        </w:trPr>
        <w:tc>
          <w:tcPr>
            <w:tcW w:w="2425" w:type="dxa"/>
            <w:tcBorders>
              <w:top w:val="single" w:sz="4" w:space="0" w:color="auto"/>
            </w:tcBorders>
            <w:shd w:val="clear" w:color="auto" w:fill="B8CCE4" w:themeFill="accent1" w:themeFillTint="66"/>
            <w:vAlign w:val="center"/>
          </w:tcPr>
          <w:p w14:paraId="1DAA4583" w14:textId="2AB8D021" w:rsidR="00FC0AD6" w:rsidRPr="00273653" w:rsidRDefault="00BC5984" w:rsidP="00F579E4">
            <w:pPr>
              <w:pStyle w:val="LRWLTableText"/>
              <w:tabs>
                <w:tab w:val="left" w:pos="3870"/>
                <w:tab w:val="left" w:pos="8550"/>
              </w:tabs>
              <w:jc w:val="center"/>
              <w:rPr>
                <w:rFonts w:cs="Arial"/>
                <w:sz w:val="22"/>
                <w:szCs w:val="22"/>
              </w:rPr>
            </w:pPr>
            <w:r>
              <w:rPr>
                <w:rFonts w:cs="Arial"/>
                <w:sz w:val="22"/>
                <w:szCs w:val="22"/>
              </w:rPr>
              <w:t>-</w:t>
            </w:r>
          </w:p>
        </w:tc>
        <w:tc>
          <w:tcPr>
            <w:tcW w:w="4185" w:type="dxa"/>
            <w:tcBorders>
              <w:top w:val="single" w:sz="4" w:space="0" w:color="auto"/>
            </w:tcBorders>
            <w:shd w:val="clear" w:color="auto" w:fill="B8CCE4" w:themeFill="accent1" w:themeFillTint="66"/>
            <w:vAlign w:val="center"/>
          </w:tcPr>
          <w:p w14:paraId="283973EE" w14:textId="3976213D" w:rsidR="00FC0AD6" w:rsidRPr="00273653" w:rsidRDefault="00FD510B" w:rsidP="00C94564">
            <w:pPr>
              <w:pStyle w:val="LRWLTableText"/>
              <w:tabs>
                <w:tab w:val="left" w:pos="3870"/>
                <w:tab w:val="left" w:pos="8550"/>
              </w:tabs>
              <w:rPr>
                <w:rFonts w:cs="Arial"/>
                <w:b/>
                <w:sz w:val="22"/>
                <w:szCs w:val="22"/>
              </w:rPr>
            </w:pPr>
            <w:r>
              <w:rPr>
                <w:rFonts w:cs="Arial"/>
                <w:sz w:val="22"/>
                <w:szCs w:val="22"/>
              </w:rPr>
              <w:t>Proposer</w:t>
            </w:r>
            <w:r w:rsidR="00FC0AD6" w:rsidRPr="00F579E4">
              <w:rPr>
                <w:rFonts w:cs="Arial"/>
                <w:sz w:val="22"/>
                <w:szCs w:val="22"/>
              </w:rPr>
              <w:t xml:space="preserve"> Demonstrations</w:t>
            </w:r>
          </w:p>
        </w:tc>
        <w:tc>
          <w:tcPr>
            <w:tcW w:w="1594" w:type="dxa"/>
            <w:tcBorders>
              <w:top w:val="single" w:sz="4" w:space="0" w:color="auto"/>
            </w:tcBorders>
            <w:shd w:val="clear" w:color="auto" w:fill="B8CCE4" w:themeFill="accent1" w:themeFillTint="66"/>
          </w:tcPr>
          <w:p w14:paraId="3F2133EC" w14:textId="770A6749" w:rsidR="00FC0AD6" w:rsidRPr="00F579E4" w:rsidRDefault="00FC0AD6" w:rsidP="006456A2">
            <w:pPr>
              <w:pStyle w:val="LRWLTableText"/>
              <w:tabs>
                <w:tab w:val="left" w:pos="3870"/>
                <w:tab w:val="left" w:pos="8550"/>
              </w:tabs>
              <w:jc w:val="center"/>
              <w:rPr>
                <w:rFonts w:cs="Arial"/>
                <w:sz w:val="22"/>
                <w:szCs w:val="22"/>
              </w:rPr>
            </w:pPr>
            <w:r w:rsidRPr="00F579E4">
              <w:rPr>
                <w:rFonts w:cs="Arial"/>
                <w:sz w:val="22"/>
                <w:szCs w:val="22"/>
              </w:rPr>
              <w:t>500</w:t>
            </w:r>
          </w:p>
        </w:tc>
        <w:tc>
          <w:tcPr>
            <w:tcW w:w="1146" w:type="dxa"/>
            <w:tcBorders>
              <w:top w:val="single" w:sz="4" w:space="0" w:color="auto"/>
            </w:tcBorders>
            <w:shd w:val="clear" w:color="auto" w:fill="B8CCE4" w:themeFill="accent1" w:themeFillTint="66"/>
          </w:tcPr>
          <w:p w14:paraId="77D1C2FE" w14:textId="3FA4A773" w:rsidR="00FC0AD6" w:rsidRPr="00BC5984" w:rsidRDefault="00BC5984" w:rsidP="006456A2">
            <w:pPr>
              <w:pStyle w:val="LRWLTableText"/>
              <w:tabs>
                <w:tab w:val="left" w:pos="3870"/>
                <w:tab w:val="left" w:pos="8550"/>
              </w:tabs>
              <w:jc w:val="center"/>
              <w:rPr>
                <w:rFonts w:cs="Arial"/>
                <w:sz w:val="22"/>
                <w:szCs w:val="22"/>
              </w:rPr>
            </w:pPr>
            <w:r>
              <w:rPr>
                <w:rFonts w:cs="Arial"/>
                <w:sz w:val="22"/>
                <w:szCs w:val="22"/>
              </w:rPr>
              <w:t>-</w:t>
            </w:r>
          </w:p>
        </w:tc>
      </w:tr>
    </w:tbl>
    <w:p w14:paraId="28B0B5E0" w14:textId="2C1A63F9" w:rsidR="006456A2" w:rsidRPr="00273653" w:rsidRDefault="006456A2" w:rsidP="006456A2">
      <w:pPr>
        <w:rPr>
          <w:rFonts w:ascii="Arial" w:hAnsi="Arial" w:cs="Arial"/>
        </w:rPr>
      </w:pPr>
      <w:r w:rsidRPr="00273653">
        <w:rPr>
          <w:rFonts w:ascii="Arial" w:hAnsi="Arial" w:cs="Arial"/>
        </w:rPr>
        <w:t xml:space="preserve">Results of reference checks will be used to clarify and substantiate information in the written </w:t>
      </w:r>
      <w:r w:rsidR="0029723D">
        <w:rPr>
          <w:rFonts w:ascii="Arial" w:hAnsi="Arial" w:cs="Arial"/>
        </w:rPr>
        <w:t>Proposal</w:t>
      </w:r>
      <w:r w:rsidR="00B56EE6">
        <w:rPr>
          <w:rFonts w:ascii="Arial" w:hAnsi="Arial" w:cs="Arial"/>
        </w:rPr>
        <w:t xml:space="preserve">s. </w:t>
      </w:r>
      <w:r w:rsidRPr="00273653">
        <w:rPr>
          <w:rFonts w:ascii="Arial" w:hAnsi="Arial" w:cs="Arial"/>
        </w:rPr>
        <w:t xml:space="preserve">The reference checks may be considered when scoring the responses to the general and technical </w:t>
      </w:r>
      <w:r w:rsidR="009B165B">
        <w:rPr>
          <w:rFonts w:ascii="Arial" w:hAnsi="Arial" w:cs="Arial"/>
        </w:rPr>
        <w:t>questionnaires</w:t>
      </w:r>
      <w:r w:rsidRPr="00273653">
        <w:rPr>
          <w:rFonts w:ascii="Arial" w:hAnsi="Arial" w:cs="Arial"/>
        </w:rPr>
        <w:t xml:space="preserve"> in th</w:t>
      </w:r>
      <w:r w:rsidR="00EB45C2">
        <w:rPr>
          <w:rFonts w:ascii="Arial" w:hAnsi="Arial" w:cs="Arial"/>
        </w:rPr>
        <w:t>is</w:t>
      </w:r>
      <w:r w:rsidRPr="00273653">
        <w:rPr>
          <w:rFonts w:ascii="Arial" w:hAnsi="Arial" w:cs="Arial"/>
        </w:rPr>
        <w:t xml:space="preserve"> RFP.</w:t>
      </w:r>
    </w:p>
    <w:p w14:paraId="1E3E288C" w14:textId="03E5FF46" w:rsidR="006456A2" w:rsidRPr="00273653" w:rsidRDefault="006456A2" w:rsidP="006456A2">
      <w:pPr>
        <w:rPr>
          <w:rFonts w:ascii="Arial" w:hAnsi="Arial" w:cs="Arial"/>
        </w:rPr>
      </w:pPr>
      <w:r w:rsidRPr="00273653">
        <w:rPr>
          <w:rFonts w:ascii="Arial" w:hAnsi="Arial" w:cs="Arial"/>
        </w:rPr>
        <w:t xml:space="preserve">The points stated above are the maximum amount awarded for each </w:t>
      </w:r>
      <w:r w:rsidR="00B30D27">
        <w:rPr>
          <w:rFonts w:ascii="Arial" w:hAnsi="Arial" w:cs="Arial"/>
        </w:rPr>
        <w:t>RFP section listed above</w:t>
      </w:r>
      <w:r w:rsidRPr="00273653">
        <w:rPr>
          <w:rFonts w:ascii="Arial" w:hAnsi="Arial" w:cs="Arial"/>
        </w:rPr>
        <w:t>.</w:t>
      </w:r>
      <w:r w:rsidR="00BC7A72">
        <w:rPr>
          <w:rFonts w:ascii="Arial" w:hAnsi="Arial" w:cs="Arial"/>
        </w:rPr>
        <w:t xml:space="preserve"> Proposals accepted for final consideration will have additional evaluation criteria for the </w:t>
      </w:r>
      <w:r w:rsidR="00FD510B">
        <w:rPr>
          <w:rFonts w:ascii="Arial" w:hAnsi="Arial" w:cs="Arial"/>
        </w:rPr>
        <w:t>Proposer</w:t>
      </w:r>
      <w:r w:rsidR="001C3ACE">
        <w:rPr>
          <w:rFonts w:ascii="Arial" w:hAnsi="Arial" w:cs="Arial"/>
        </w:rPr>
        <w:t xml:space="preserve"> web-</w:t>
      </w:r>
      <w:r w:rsidR="00B30D27">
        <w:rPr>
          <w:rFonts w:ascii="Arial" w:hAnsi="Arial" w:cs="Arial"/>
        </w:rPr>
        <w:t>p</w:t>
      </w:r>
      <w:r w:rsidR="00BC7A72">
        <w:rPr>
          <w:rFonts w:ascii="Arial" w:hAnsi="Arial" w:cs="Arial"/>
        </w:rPr>
        <w:t xml:space="preserve">ortal </w:t>
      </w:r>
      <w:r w:rsidR="00B30D27">
        <w:rPr>
          <w:rFonts w:ascii="Arial" w:hAnsi="Arial" w:cs="Arial"/>
        </w:rPr>
        <w:t>d</w:t>
      </w:r>
      <w:r w:rsidR="00BC7A72">
        <w:rPr>
          <w:rFonts w:ascii="Arial" w:hAnsi="Arial" w:cs="Arial"/>
        </w:rPr>
        <w:t xml:space="preserve">emonstrations </w:t>
      </w:r>
      <w:r w:rsidR="00B30D27">
        <w:rPr>
          <w:rFonts w:ascii="Arial" w:hAnsi="Arial" w:cs="Arial"/>
        </w:rPr>
        <w:t xml:space="preserve">listed </w:t>
      </w:r>
      <w:r w:rsidR="00BC7A72">
        <w:rPr>
          <w:rFonts w:ascii="Arial" w:hAnsi="Arial" w:cs="Arial"/>
        </w:rPr>
        <w:t xml:space="preserve">in Table </w:t>
      </w:r>
      <w:r w:rsidR="00564C5E">
        <w:rPr>
          <w:rFonts w:ascii="Arial" w:hAnsi="Arial" w:cs="Arial"/>
        </w:rPr>
        <w:t>4</w:t>
      </w:r>
      <w:r w:rsidR="00B30D27">
        <w:rPr>
          <w:rFonts w:ascii="Arial" w:hAnsi="Arial" w:cs="Arial"/>
        </w:rPr>
        <w:t xml:space="preserve"> Calendar of Events</w:t>
      </w:r>
      <w:r w:rsidR="00BC7A72">
        <w:rPr>
          <w:rFonts w:ascii="Arial" w:hAnsi="Arial" w:cs="Arial"/>
        </w:rPr>
        <w:t>.</w:t>
      </w:r>
    </w:p>
    <w:p w14:paraId="51A631FD" w14:textId="77777777" w:rsidR="006456A2" w:rsidRPr="00273653" w:rsidRDefault="006456A2" w:rsidP="00644C74">
      <w:pPr>
        <w:pStyle w:val="Heading2"/>
        <w:ind w:left="720" w:hanging="720"/>
      </w:pPr>
      <w:r w:rsidRPr="00273653">
        <w:t xml:space="preserve">Method to </w:t>
      </w:r>
      <w:r w:rsidRPr="00C94564">
        <w:t>Score</w:t>
      </w:r>
      <w:r w:rsidRPr="00273653">
        <w:t xml:space="preserve"> the Cost</w:t>
      </w:r>
    </w:p>
    <w:p w14:paraId="6FD89A6A" w14:textId="714DC755" w:rsidR="006456A2" w:rsidRPr="00273653" w:rsidRDefault="006456A2" w:rsidP="006456A2">
      <w:pPr>
        <w:rPr>
          <w:rFonts w:ascii="Arial" w:hAnsi="Arial" w:cs="Arial"/>
        </w:rPr>
      </w:pPr>
      <w:r w:rsidRPr="00273653">
        <w:rPr>
          <w:rFonts w:ascii="Arial" w:hAnsi="Arial" w:cs="Arial"/>
        </w:rPr>
        <w:t xml:space="preserve">The lowest </w:t>
      </w:r>
      <w:r w:rsidR="00284E05">
        <w:rPr>
          <w:rFonts w:ascii="Arial" w:hAnsi="Arial" w:cs="Arial"/>
        </w:rPr>
        <w:t>C</w:t>
      </w:r>
      <w:r w:rsidRPr="00273653">
        <w:rPr>
          <w:rFonts w:ascii="Arial" w:hAnsi="Arial" w:cs="Arial"/>
        </w:rPr>
        <w:t xml:space="preserve">ost </w:t>
      </w:r>
      <w:r w:rsidR="00284E05">
        <w:rPr>
          <w:rFonts w:ascii="Arial" w:hAnsi="Arial" w:cs="Arial"/>
        </w:rPr>
        <w:t>P</w:t>
      </w:r>
      <w:r w:rsidRPr="00273653">
        <w:rPr>
          <w:rFonts w:ascii="Arial" w:hAnsi="Arial" w:cs="Arial"/>
        </w:rPr>
        <w:t>roposal will receive the maximum number of points av</w:t>
      </w:r>
      <w:r w:rsidR="00B56EE6">
        <w:rPr>
          <w:rFonts w:ascii="Arial" w:hAnsi="Arial" w:cs="Arial"/>
        </w:rPr>
        <w:t xml:space="preserve">ailable for the cost category. </w:t>
      </w:r>
      <w:r w:rsidRPr="00273653">
        <w:rPr>
          <w:rFonts w:ascii="Arial" w:hAnsi="Arial" w:cs="Arial"/>
        </w:rPr>
        <w:t xml:space="preserve">Other </w:t>
      </w:r>
      <w:r w:rsidR="00284E05">
        <w:rPr>
          <w:rFonts w:ascii="Arial" w:hAnsi="Arial" w:cs="Arial"/>
        </w:rPr>
        <w:t>C</w:t>
      </w:r>
      <w:r w:rsidRPr="00273653">
        <w:rPr>
          <w:rFonts w:ascii="Arial" w:hAnsi="Arial" w:cs="Arial"/>
        </w:rPr>
        <w:t xml:space="preserve">ost </w:t>
      </w:r>
      <w:r w:rsidR="00284E05">
        <w:rPr>
          <w:rFonts w:ascii="Arial" w:hAnsi="Arial" w:cs="Arial"/>
        </w:rPr>
        <w:t>P</w:t>
      </w:r>
      <w:r w:rsidRPr="00273653">
        <w:rPr>
          <w:rFonts w:ascii="Arial" w:hAnsi="Arial" w:cs="Arial"/>
        </w:rPr>
        <w:t xml:space="preserve">roposals will receive prorated scores based on the proportion that the costs of the </w:t>
      </w:r>
      <w:r w:rsidR="0029723D">
        <w:rPr>
          <w:rFonts w:ascii="Arial" w:hAnsi="Arial" w:cs="Arial"/>
        </w:rPr>
        <w:t>Proposal</w:t>
      </w:r>
      <w:r w:rsidRPr="00273653">
        <w:rPr>
          <w:rFonts w:ascii="Arial" w:hAnsi="Arial" w:cs="Arial"/>
        </w:rPr>
        <w:t xml:space="preserve">s vary from the lowest </w:t>
      </w:r>
      <w:r w:rsidR="00284E05">
        <w:rPr>
          <w:rFonts w:ascii="Arial" w:hAnsi="Arial" w:cs="Arial"/>
        </w:rPr>
        <w:t>C</w:t>
      </w:r>
      <w:r w:rsidRPr="00273653">
        <w:rPr>
          <w:rFonts w:ascii="Arial" w:hAnsi="Arial" w:cs="Arial"/>
        </w:rPr>
        <w:t xml:space="preserve">ost </w:t>
      </w:r>
      <w:r w:rsidR="00284E05">
        <w:rPr>
          <w:rFonts w:ascii="Arial" w:hAnsi="Arial" w:cs="Arial"/>
        </w:rPr>
        <w:t>P</w:t>
      </w:r>
      <w:r w:rsidRPr="00273653">
        <w:rPr>
          <w:rFonts w:ascii="Arial" w:hAnsi="Arial" w:cs="Arial"/>
        </w:rPr>
        <w:t>roposal</w:t>
      </w:r>
      <w:r w:rsidR="000A6F08">
        <w:rPr>
          <w:rFonts w:ascii="Arial" w:hAnsi="Arial" w:cs="Arial"/>
        </w:rPr>
        <w:t xml:space="preserve">. </w:t>
      </w:r>
      <w:r w:rsidRPr="00273653">
        <w:rPr>
          <w:rFonts w:ascii="Arial" w:hAnsi="Arial" w:cs="Arial"/>
        </w:rPr>
        <w:t xml:space="preserve">The scores for the cost category will be calculated </w:t>
      </w:r>
      <w:r w:rsidR="008E1261">
        <w:rPr>
          <w:rFonts w:ascii="Arial" w:hAnsi="Arial" w:cs="Arial"/>
        </w:rPr>
        <w:t>with</w:t>
      </w:r>
      <w:r w:rsidR="008E1261" w:rsidRPr="00273653">
        <w:rPr>
          <w:rFonts w:ascii="Arial" w:hAnsi="Arial" w:cs="Arial"/>
        </w:rPr>
        <w:t xml:space="preserve"> </w:t>
      </w:r>
      <w:r w:rsidRPr="00273653">
        <w:rPr>
          <w:rFonts w:ascii="Arial" w:hAnsi="Arial" w:cs="Arial"/>
        </w:rPr>
        <w:t>a mathematical formula.</w:t>
      </w:r>
    </w:p>
    <w:p w14:paraId="63A8B6BD" w14:textId="77777777" w:rsidR="006456A2" w:rsidRPr="00273653" w:rsidRDefault="006456A2" w:rsidP="00644C74">
      <w:pPr>
        <w:pStyle w:val="Heading2"/>
        <w:ind w:left="720" w:hanging="720"/>
      </w:pPr>
      <w:r w:rsidRPr="00273653">
        <w:t>Oral Presentations, Demonstrations, and/or Site Visits</w:t>
      </w:r>
    </w:p>
    <w:p w14:paraId="5A774F98" w14:textId="16A2DD8E" w:rsidR="006456A2" w:rsidRPr="00273653" w:rsidRDefault="006456A2" w:rsidP="006456A2">
      <w:pPr>
        <w:pStyle w:val="LRWLBodyText"/>
        <w:rPr>
          <w:rFonts w:cs="Arial"/>
        </w:rPr>
      </w:pPr>
      <w:r w:rsidRPr="00273653">
        <w:rPr>
          <w:rFonts w:cs="Arial"/>
        </w:rPr>
        <w:t xml:space="preserve">The top scoring Proposers, based on the evaluation of their written Proposal in the general and technical </w:t>
      </w:r>
      <w:r w:rsidR="00970E89">
        <w:rPr>
          <w:rFonts w:cs="Arial"/>
        </w:rPr>
        <w:t>questions</w:t>
      </w:r>
      <w:r w:rsidR="00970E89" w:rsidRPr="00273653">
        <w:rPr>
          <w:rFonts w:cs="Arial"/>
        </w:rPr>
        <w:t xml:space="preserve"> </w:t>
      </w:r>
      <w:r w:rsidRPr="00273653">
        <w:rPr>
          <w:rFonts w:cs="Arial"/>
        </w:rPr>
        <w:t>of th</w:t>
      </w:r>
      <w:r w:rsidR="00EB45C2">
        <w:rPr>
          <w:rFonts w:cs="Arial"/>
        </w:rPr>
        <w:t>is</w:t>
      </w:r>
      <w:r w:rsidRPr="00273653">
        <w:rPr>
          <w:rFonts w:cs="Arial"/>
        </w:rPr>
        <w:t xml:space="preserve"> RFP only, may be required to participate in oral presentations, </w:t>
      </w:r>
      <w:r w:rsidRPr="00273653">
        <w:rPr>
          <w:rFonts w:cs="Arial"/>
        </w:rPr>
        <w:lastRenderedPageBreak/>
        <w:t>interviews and/or site visits to supplement the Proposals</w:t>
      </w:r>
      <w:r w:rsidR="008E1261">
        <w:rPr>
          <w:rFonts w:cs="Arial"/>
        </w:rPr>
        <w:t>,</w:t>
      </w:r>
      <w:r w:rsidRPr="00273653">
        <w:rPr>
          <w:rFonts w:cs="Arial"/>
        </w:rPr>
        <w:t xml:space="preserve"> if requested by ETF. </w:t>
      </w:r>
      <w:r w:rsidR="00451A40">
        <w:rPr>
          <w:rFonts w:cs="Arial"/>
        </w:rPr>
        <w:t xml:space="preserve">This may include demonstrations of Proposer’s technological solutions, data management and reporting capabilities and interviews with key staff who may interact with </w:t>
      </w:r>
      <w:r w:rsidR="008A69C2">
        <w:rPr>
          <w:rFonts w:cs="Arial"/>
        </w:rPr>
        <w:t xml:space="preserve">ETF </w:t>
      </w:r>
      <w:r w:rsidR="00451A40">
        <w:rPr>
          <w:rFonts w:cs="Arial"/>
        </w:rPr>
        <w:t xml:space="preserve">program </w:t>
      </w:r>
      <w:r w:rsidR="00BB015C">
        <w:rPr>
          <w:rFonts w:cs="Arial"/>
        </w:rPr>
        <w:t xml:space="preserve">staff, Board members, and </w:t>
      </w:r>
      <w:r w:rsidR="00E46012">
        <w:rPr>
          <w:rFonts w:cs="Arial"/>
        </w:rPr>
        <w:t>Members</w:t>
      </w:r>
      <w:r w:rsidR="00451A40">
        <w:rPr>
          <w:rFonts w:cs="Arial"/>
        </w:rPr>
        <w:t>.</w:t>
      </w:r>
    </w:p>
    <w:p w14:paraId="2E355961" w14:textId="77777777" w:rsidR="006456A2" w:rsidRPr="00273653" w:rsidRDefault="006456A2" w:rsidP="006456A2">
      <w:pPr>
        <w:pStyle w:val="LRWLBodyText"/>
        <w:rPr>
          <w:rFonts w:cs="Arial"/>
        </w:rPr>
      </w:pPr>
      <w:r w:rsidRPr="00273653">
        <w:rPr>
          <w:rFonts w:cs="Arial"/>
        </w:rPr>
        <w:t>Not all Proposers may be invited for oral presentations, demonstrations, and/or site visits. ETF will make every reasonable attempt to schedule each oral presentation or demonstration at a time and location that is agreeable to the Proposer. Failure of a Proposer to interview or permit a site visit on the date scheduled may result in rejection of the Proposer's Proposal.</w:t>
      </w:r>
    </w:p>
    <w:p w14:paraId="4FB2ABF0" w14:textId="77777777" w:rsidR="00681F16" w:rsidRPr="00273653" w:rsidRDefault="006456A2" w:rsidP="00BD488C">
      <w:pPr>
        <w:pStyle w:val="LRWLBodyText"/>
        <w:rPr>
          <w:rFonts w:cs="Arial"/>
        </w:rPr>
      </w:pPr>
      <w:r w:rsidRPr="00273653">
        <w:rPr>
          <w:rFonts w:cs="Arial"/>
        </w:rPr>
        <w:t xml:space="preserve">By submitting a </w:t>
      </w:r>
      <w:r w:rsidR="0029723D">
        <w:rPr>
          <w:rFonts w:cs="Arial"/>
        </w:rPr>
        <w:t>Proposal</w:t>
      </w:r>
      <w:r w:rsidRPr="00273653">
        <w:rPr>
          <w:rFonts w:cs="Arial"/>
        </w:rPr>
        <w:t xml:space="preserve"> in response to this RFP, the Proposer grants rights to ETF to contact or arrange a visit with any or all of the Proposer’s clients and/or references.</w:t>
      </w:r>
    </w:p>
    <w:p w14:paraId="147AFDE4" w14:textId="77777777" w:rsidR="006456A2" w:rsidRPr="00273653" w:rsidRDefault="00942A99" w:rsidP="00644C74">
      <w:pPr>
        <w:pStyle w:val="Heading2"/>
        <w:ind w:left="720" w:hanging="720"/>
      </w:pPr>
      <w:r w:rsidRPr="00273653">
        <w:t xml:space="preserve">Contract </w:t>
      </w:r>
      <w:r w:rsidR="006456A2" w:rsidRPr="00C94564">
        <w:t>Award</w:t>
      </w:r>
      <w:r w:rsidR="006456A2" w:rsidRPr="00273653">
        <w:t xml:space="preserve"> </w:t>
      </w:r>
    </w:p>
    <w:p w14:paraId="4D6AD64A" w14:textId="77777777" w:rsidR="005E1C9E" w:rsidRPr="00273653" w:rsidRDefault="00D320F7" w:rsidP="006456A2">
      <w:pPr>
        <w:rPr>
          <w:rFonts w:ascii="Arial" w:hAnsi="Arial" w:cs="Arial"/>
        </w:rPr>
      </w:pPr>
      <w:r w:rsidRPr="00D320F7">
        <w:rPr>
          <w:rFonts w:ascii="Arial" w:hAnsi="Arial" w:cs="Arial"/>
        </w:rPr>
        <w:t xml:space="preserve">Based on the results of the evaluation and taking into account all of the evaluation factors, the evaluation committee will recommend the highest scoring </w:t>
      </w:r>
      <w:r w:rsidR="0029723D">
        <w:rPr>
          <w:rFonts w:ascii="Arial" w:hAnsi="Arial" w:cs="Arial"/>
        </w:rPr>
        <w:t>Proposal</w:t>
      </w:r>
      <w:r w:rsidRPr="00D320F7">
        <w:rPr>
          <w:rFonts w:ascii="Arial" w:hAnsi="Arial" w:cs="Arial"/>
        </w:rPr>
        <w:t xml:space="preserve"> to the Board for award. The </w:t>
      </w:r>
      <w:r w:rsidR="0029723D">
        <w:rPr>
          <w:rFonts w:ascii="Arial" w:hAnsi="Arial" w:cs="Arial"/>
        </w:rPr>
        <w:t>Proposal</w:t>
      </w:r>
      <w:r w:rsidRPr="00D320F7">
        <w:rPr>
          <w:rFonts w:ascii="Arial" w:hAnsi="Arial" w:cs="Arial"/>
        </w:rPr>
        <w:t xml:space="preserve"> determined to be most advantageous to the Board will be selected by the Board for further action. The Board reserves the right not to award a </w:t>
      </w:r>
      <w:r w:rsidR="00284E05">
        <w:rPr>
          <w:rFonts w:ascii="Arial" w:hAnsi="Arial" w:cs="Arial"/>
        </w:rPr>
        <w:t>C</w:t>
      </w:r>
      <w:r w:rsidRPr="00D320F7">
        <w:rPr>
          <w:rFonts w:ascii="Arial" w:hAnsi="Arial" w:cs="Arial"/>
        </w:rPr>
        <w:t xml:space="preserve">ontract. If contract negotiations cannot be concluded successfully with the awarded Proposer(s), the Board may negotiate a </w:t>
      </w:r>
      <w:r w:rsidR="00284E05">
        <w:rPr>
          <w:rFonts w:ascii="Arial" w:hAnsi="Arial" w:cs="Arial"/>
        </w:rPr>
        <w:t>C</w:t>
      </w:r>
      <w:r w:rsidRPr="00D320F7">
        <w:rPr>
          <w:rFonts w:ascii="Arial" w:hAnsi="Arial" w:cs="Arial"/>
        </w:rPr>
        <w:t>ontract with the next highest scoring Proposer(s).</w:t>
      </w:r>
    </w:p>
    <w:p w14:paraId="16ABB325" w14:textId="77777777" w:rsidR="006456A2" w:rsidRPr="00273653" w:rsidRDefault="007E241E" w:rsidP="00644C74">
      <w:pPr>
        <w:pStyle w:val="Heading2"/>
        <w:ind w:left="720" w:hanging="720"/>
      </w:pPr>
      <w:r w:rsidRPr="00273653">
        <w:t xml:space="preserve">Best </w:t>
      </w:r>
      <w:r w:rsidRPr="00C94564">
        <w:t>and</w:t>
      </w:r>
      <w:r w:rsidRPr="00273653">
        <w:t xml:space="preserve"> Final Offer</w:t>
      </w:r>
      <w:r w:rsidR="006456A2" w:rsidRPr="00273653">
        <w:t xml:space="preserve"> (BAFO)</w:t>
      </w:r>
    </w:p>
    <w:p w14:paraId="5404593F" w14:textId="77777777" w:rsidR="006456A2" w:rsidRPr="00273653" w:rsidRDefault="006456A2" w:rsidP="006456A2">
      <w:pPr>
        <w:rPr>
          <w:rFonts w:ascii="Arial" w:hAnsi="Arial" w:cs="Arial"/>
        </w:rPr>
      </w:pPr>
      <w:r w:rsidRPr="00273653">
        <w:rPr>
          <w:rFonts w:ascii="Arial" w:hAnsi="Arial" w:cs="Arial"/>
        </w:rPr>
        <w:t>ETF reserves the right to solicit a BAFO and conduct Proposer discussions, request more competitive pricing, clarify Proposals, and contact references with the finalists, should it be in the State</w:t>
      </w:r>
      <w:r w:rsidR="007931FF" w:rsidRPr="00273653">
        <w:rPr>
          <w:rFonts w:ascii="Arial" w:hAnsi="Arial" w:cs="Arial"/>
        </w:rPr>
        <w:t xml:space="preserve"> of Wisconsin</w:t>
      </w:r>
      <w:r w:rsidRPr="00273653">
        <w:rPr>
          <w:rFonts w:ascii="Arial" w:hAnsi="Arial" w:cs="Arial"/>
        </w:rPr>
        <w:t>’s best interest to do so. ETF is the sole determinant of its best interests.</w:t>
      </w:r>
    </w:p>
    <w:p w14:paraId="45E0B8AD" w14:textId="01B46563" w:rsidR="006456A2" w:rsidRPr="00273653" w:rsidRDefault="006456A2" w:rsidP="006456A2">
      <w:pPr>
        <w:rPr>
          <w:rFonts w:ascii="Arial" w:hAnsi="Arial" w:cs="Arial"/>
        </w:rPr>
      </w:pPr>
      <w:r w:rsidRPr="00273653">
        <w:rPr>
          <w:rFonts w:ascii="Arial" w:hAnsi="Arial" w:cs="Arial"/>
        </w:rPr>
        <w:t xml:space="preserve">If a BAFO is solicited, it will contain the specific information on what is being requested, as well as submission requirements, evaluation criteria as composed by the Committee, and a timeline with due date </w:t>
      </w:r>
      <w:r w:rsidR="000E6C6A">
        <w:rPr>
          <w:rFonts w:ascii="Arial" w:hAnsi="Arial" w:cs="Arial"/>
        </w:rPr>
        <w:t>for</w:t>
      </w:r>
      <w:r w:rsidR="000E6C6A" w:rsidRPr="00273653">
        <w:rPr>
          <w:rFonts w:ascii="Arial" w:hAnsi="Arial" w:cs="Arial"/>
        </w:rPr>
        <w:t xml:space="preserve"> </w:t>
      </w:r>
      <w:r w:rsidRPr="00273653">
        <w:rPr>
          <w:rFonts w:ascii="Arial" w:hAnsi="Arial" w:cs="Arial"/>
        </w:rPr>
        <w:t xml:space="preserve">submission. Any BAFO responses received by ETF after the stated due date will not be accepted. Proposers </w:t>
      </w:r>
      <w:r w:rsidR="00F76D8F">
        <w:rPr>
          <w:rFonts w:ascii="Arial" w:hAnsi="Arial" w:cs="Arial"/>
        </w:rPr>
        <w:t>that</w:t>
      </w:r>
      <w:r w:rsidR="00F76D8F" w:rsidRPr="00273653">
        <w:rPr>
          <w:rFonts w:ascii="Arial" w:hAnsi="Arial" w:cs="Arial"/>
        </w:rPr>
        <w:t xml:space="preserve"> </w:t>
      </w:r>
      <w:r w:rsidRPr="00273653">
        <w:rPr>
          <w:rFonts w:ascii="Arial" w:hAnsi="Arial" w:cs="Arial"/>
        </w:rPr>
        <w:t>are asked to submit a BAFO may refuse to do so by submitting a written response, indicating their response remains as originally submitted. Refusing to submit a BAFO will not disqualify the Proposer from further consideration.</w:t>
      </w:r>
    </w:p>
    <w:p w14:paraId="5919A92D" w14:textId="77777777" w:rsidR="006456A2" w:rsidRPr="00273653" w:rsidRDefault="006456A2" w:rsidP="00644C74">
      <w:pPr>
        <w:pStyle w:val="Heading2"/>
        <w:ind w:left="720" w:hanging="720"/>
      </w:pPr>
      <w:r w:rsidRPr="00273653">
        <w:t xml:space="preserve">Right to Reject Proposals and Negotiate Contract Terms </w:t>
      </w:r>
    </w:p>
    <w:p w14:paraId="487C0581" w14:textId="3BD1DD0F" w:rsidR="00942A99" w:rsidRPr="00273653" w:rsidRDefault="00942A99" w:rsidP="00942A99">
      <w:pPr>
        <w:rPr>
          <w:rFonts w:ascii="Arial" w:hAnsi="Arial" w:cs="Arial"/>
        </w:rPr>
      </w:pPr>
      <w:r w:rsidRPr="00273653">
        <w:rPr>
          <w:rFonts w:ascii="Arial" w:hAnsi="Arial" w:cs="Arial"/>
        </w:rPr>
        <w:t>Th</w:t>
      </w:r>
      <w:r w:rsidR="00EB45C2">
        <w:rPr>
          <w:rFonts w:ascii="Arial" w:hAnsi="Arial" w:cs="Arial"/>
        </w:rPr>
        <w:t>is</w:t>
      </w:r>
      <w:r w:rsidRPr="00273653">
        <w:rPr>
          <w:rFonts w:ascii="Arial" w:hAnsi="Arial" w:cs="Arial"/>
        </w:rPr>
        <w:t xml:space="preserve"> RFP does not commit the </w:t>
      </w:r>
      <w:r w:rsidR="00A0529D">
        <w:rPr>
          <w:rFonts w:ascii="Arial" w:hAnsi="Arial" w:cs="Arial"/>
        </w:rPr>
        <w:t>Board</w:t>
      </w:r>
      <w:r w:rsidR="00A0529D" w:rsidRPr="00273653">
        <w:rPr>
          <w:rFonts w:ascii="Arial" w:hAnsi="Arial" w:cs="Arial"/>
        </w:rPr>
        <w:t xml:space="preserve"> </w:t>
      </w:r>
      <w:r w:rsidRPr="00273653">
        <w:rPr>
          <w:rFonts w:ascii="Arial" w:hAnsi="Arial" w:cs="Arial"/>
        </w:rPr>
        <w:t>to awarding one or multiple contracts, or pay</w:t>
      </w:r>
      <w:r w:rsidR="00F76D8F">
        <w:rPr>
          <w:rFonts w:ascii="Arial" w:hAnsi="Arial" w:cs="Arial"/>
        </w:rPr>
        <w:t>ing</w:t>
      </w:r>
      <w:r w:rsidRPr="00273653">
        <w:rPr>
          <w:rFonts w:ascii="Arial" w:hAnsi="Arial" w:cs="Arial"/>
        </w:rPr>
        <w:t xml:space="preserve"> any cost incurred in the preparation of a </w:t>
      </w:r>
      <w:r w:rsidR="0029723D">
        <w:rPr>
          <w:rFonts w:ascii="Arial" w:hAnsi="Arial" w:cs="Arial"/>
        </w:rPr>
        <w:t>Proposal</w:t>
      </w:r>
      <w:r w:rsidRPr="00273653">
        <w:rPr>
          <w:rFonts w:ascii="Arial" w:hAnsi="Arial" w:cs="Arial"/>
        </w:rPr>
        <w:t xml:space="preserve"> in response to th</w:t>
      </w:r>
      <w:r w:rsidR="00EB45C2">
        <w:rPr>
          <w:rFonts w:ascii="Arial" w:hAnsi="Arial" w:cs="Arial"/>
        </w:rPr>
        <w:t>is</w:t>
      </w:r>
      <w:r w:rsidRPr="00273653">
        <w:rPr>
          <w:rFonts w:ascii="Arial" w:hAnsi="Arial" w:cs="Arial"/>
        </w:rPr>
        <w:t xml:space="preserve"> RFP. The </w:t>
      </w:r>
      <w:r w:rsidR="00A0529D">
        <w:rPr>
          <w:rFonts w:ascii="Arial" w:hAnsi="Arial" w:cs="Arial"/>
        </w:rPr>
        <w:t>Board</w:t>
      </w:r>
      <w:r w:rsidR="00A0529D" w:rsidRPr="00273653">
        <w:rPr>
          <w:rFonts w:ascii="Arial" w:hAnsi="Arial" w:cs="Arial"/>
        </w:rPr>
        <w:t xml:space="preserve"> </w:t>
      </w:r>
      <w:r w:rsidRPr="00273653">
        <w:rPr>
          <w:rFonts w:ascii="Arial" w:hAnsi="Arial" w:cs="Arial"/>
        </w:rPr>
        <w:t xml:space="preserve">retains the right to accept or reject any or all </w:t>
      </w:r>
      <w:r w:rsidR="0029723D">
        <w:rPr>
          <w:rFonts w:ascii="Arial" w:hAnsi="Arial" w:cs="Arial"/>
        </w:rPr>
        <w:t>Proposal</w:t>
      </w:r>
      <w:r w:rsidRPr="00273653">
        <w:rPr>
          <w:rFonts w:ascii="Arial" w:hAnsi="Arial" w:cs="Arial"/>
        </w:rPr>
        <w:t xml:space="preserve">s, or accept or reject any part of a </w:t>
      </w:r>
      <w:r w:rsidR="0029723D">
        <w:rPr>
          <w:rFonts w:ascii="Arial" w:hAnsi="Arial" w:cs="Arial"/>
        </w:rPr>
        <w:t>Proposal</w:t>
      </w:r>
      <w:r w:rsidRPr="00273653">
        <w:rPr>
          <w:rFonts w:ascii="Arial" w:hAnsi="Arial" w:cs="Arial"/>
        </w:rPr>
        <w:t xml:space="preserve"> deemed to be in the best interest of the </w:t>
      </w:r>
      <w:r w:rsidR="00A0529D">
        <w:rPr>
          <w:rFonts w:ascii="Arial" w:hAnsi="Arial" w:cs="Arial"/>
        </w:rPr>
        <w:t>Board</w:t>
      </w:r>
      <w:r w:rsidRPr="00273653">
        <w:rPr>
          <w:rFonts w:ascii="Arial" w:hAnsi="Arial" w:cs="Arial"/>
        </w:rPr>
        <w:t xml:space="preserve">. The </w:t>
      </w:r>
      <w:r w:rsidR="00A0529D">
        <w:rPr>
          <w:rFonts w:ascii="Arial" w:hAnsi="Arial" w:cs="Arial"/>
        </w:rPr>
        <w:t>Board</w:t>
      </w:r>
      <w:r w:rsidR="00A0529D" w:rsidRPr="00273653">
        <w:rPr>
          <w:rFonts w:ascii="Arial" w:hAnsi="Arial" w:cs="Arial"/>
        </w:rPr>
        <w:t xml:space="preserve"> </w:t>
      </w:r>
      <w:r w:rsidRPr="00273653">
        <w:rPr>
          <w:rFonts w:ascii="Arial" w:hAnsi="Arial" w:cs="Arial"/>
        </w:rPr>
        <w:t>shall be the sole judge as to compliance with the instructions contained in th</w:t>
      </w:r>
      <w:r w:rsidR="00EB45C2">
        <w:rPr>
          <w:rFonts w:ascii="Arial" w:hAnsi="Arial" w:cs="Arial"/>
        </w:rPr>
        <w:t>is</w:t>
      </w:r>
      <w:r w:rsidRPr="00273653">
        <w:rPr>
          <w:rFonts w:ascii="Arial" w:hAnsi="Arial" w:cs="Arial"/>
        </w:rPr>
        <w:t xml:space="preserve"> RFP. </w:t>
      </w:r>
    </w:p>
    <w:p w14:paraId="58EBFDC1" w14:textId="00A24349" w:rsidR="00942A99" w:rsidRPr="00273653" w:rsidRDefault="00942A99" w:rsidP="00942A99">
      <w:pPr>
        <w:rPr>
          <w:rFonts w:ascii="Arial" w:hAnsi="Arial" w:cs="Arial"/>
        </w:rPr>
      </w:pPr>
      <w:r w:rsidRPr="00273653">
        <w:rPr>
          <w:rFonts w:ascii="Arial" w:hAnsi="Arial" w:cs="Arial"/>
        </w:rPr>
        <w:t xml:space="preserve">The </w:t>
      </w:r>
      <w:r w:rsidR="00A0529D">
        <w:rPr>
          <w:rFonts w:ascii="Arial" w:hAnsi="Arial" w:cs="Arial"/>
        </w:rPr>
        <w:t>Board</w:t>
      </w:r>
      <w:r w:rsidR="00A0529D" w:rsidRPr="00273653">
        <w:rPr>
          <w:rFonts w:ascii="Arial" w:hAnsi="Arial" w:cs="Arial"/>
        </w:rPr>
        <w:t xml:space="preserve"> </w:t>
      </w:r>
      <w:r w:rsidRPr="00273653">
        <w:rPr>
          <w:rFonts w:ascii="Arial" w:hAnsi="Arial" w:cs="Arial"/>
        </w:rPr>
        <w:t xml:space="preserve">may negotiate the terms of the </w:t>
      </w:r>
      <w:r w:rsidR="00E10F37">
        <w:rPr>
          <w:rFonts w:ascii="Arial" w:hAnsi="Arial" w:cs="Arial"/>
        </w:rPr>
        <w:t>C</w:t>
      </w:r>
      <w:r w:rsidRPr="00273653">
        <w:rPr>
          <w:rFonts w:ascii="Arial" w:hAnsi="Arial" w:cs="Arial"/>
        </w:rPr>
        <w:t xml:space="preserve">ontract, including the award amount and the </w:t>
      </w:r>
      <w:r w:rsidR="00E10F37">
        <w:rPr>
          <w:rFonts w:ascii="Arial" w:hAnsi="Arial" w:cs="Arial"/>
        </w:rPr>
        <w:t>C</w:t>
      </w:r>
      <w:r w:rsidRPr="00273653">
        <w:rPr>
          <w:rFonts w:ascii="Arial" w:hAnsi="Arial" w:cs="Arial"/>
        </w:rPr>
        <w:t xml:space="preserve">ontract length, with the selected </w:t>
      </w:r>
      <w:r w:rsidR="00CB52E7">
        <w:rPr>
          <w:rFonts w:ascii="Arial" w:hAnsi="Arial" w:cs="Arial"/>
        </w:rPr>
        <w:t>Proposer</w:t>
      </w:r>
      <w:r w:rsidRPr="00273653">
        <w:rPr>
          <w:rFonts w:ascii="Arial" w:hAnsi="Arial" w:cs="Arial"/>
        </w:rPr>
        <w:t xml:space="preserve"> prior to entering into a </w:t>
      </w:r>
      <w:r w:rsidR="00284E05">
        <w:rPr>
          <w:rFonts w:ascii="Arial" w:hAnsi="Arial" w:cs="Arial"/>
        </w:rPr>
        <w:t>C</w:t>
      </w:r>
      <w:r w:rsidRPr="00273653">
        <w:rPr>
          <w:rFonts w:ascii="Arial" w:hAnsi="Arial" w:cs="Arial"/>
        </w:rPr>
        <w:t xml:space="preserve">ontract. The </w:t>
      </w:r>
      <w:r w:rsidR="00A0529D">
        <w:rPr>
          <w:rFonts w:ascii="Arial" w:hAnsi="Arial" w:cs="Arial"/>
        </w:rPr>
        <w:t>Board</w:t>
      </w:r>
      <w:r w:rsidR="00A0529D" w:rsidRPr="00273653">
        <w:rPr>
          <w:rFonts w:ascii="Arial" w:hAnsi="Arial" w:cs="Arial"/>
        </w:rPr>
        <w:t xml:space="preserve"> </w:t>
      </w:r>
      <w:r w:rsidRPr="00273653">
        <w:rPr>
          <w:rFonts w:ascii="Arial" w:hAnsi="Arial" w:cs="Arial"/>
        </w:rPr>
        <w:t xml:space="preserve">reserves the right to add contract terms and conditions to the </w:t>
      </w:r>
      <w:r w:rsidR="00284E05">
        <w:rPr>
          <w:rFonts w:ascii="Arial" w:hAnsi="Arial" w:cs="Arial"/>
        </w:rPr>
        <w:t>C</w:t>
      </w:r>
      <w:r w:rsidRPr="00273653">
        <w:rPr>
          <w:rFonts w:ascii="Arial" w:hAnsi="Arial" w:cs="Arial"/>
        </w:rPr>
        <w:t>ontract during contract negotiations</w:t>
      </w:r>
      <w:r w:rsidR="000E6C6A">
        <w:rPr>
          <w:rFonts w:ascii="Arial" w:hAnsi="Arial" w:cs="Arial"/>
        </w:rPr>
        <w:t xml:space="preserve"> and subsequent renewals.</w:t>
      </w:r>
    </w:p>
    <w:p w14:paraId="7072B16C" w14:textId="77777777" w:rsidR="006456A2" w:rsidRPr="00273653" w:rsidRDefault="006456A2" w:rsidP="00644C74">
      <w:pPr>
        <w:pStyle w:val="Heading2"/>
        <w:ind w:left="720" w:hanging="720"/>
      </w:pPr>
      <w:r w:rsidRPr="00273653">
        <w:lastRenderedPageBreak/>
        <w:t>Notification of Intent to Award</w:t>
      </w:r>
    </w:p>
    <w:p w14:paraId="7B0D740B" w14:textId="367CE575" w:rsidR="006456A2" w:rsidRPr="00273653" w:rsidRDefault="006456A2" w:rsidP="006456A2">
      <w:pPr>
        <w:rPr>
          <w:rFonts w:ascii="Arial" w:hAnsi="Arial" w:cs="Arial"/>
        </w:rPr>
      </w:pPr>
      <w:r w:rsidRPr="00273653">
        <w:rPr>
          <w:rFonts w:ascii="Arial" w:hAnsi="Arial" w:cs="Arial"/>
        </w:rPr>
        <w:t xml:space="preserve">All Proposers who respond to this RFP will be notified in writing of the </w:t>
      </w:r>
      <w:r w:rsidR="00EA5469">
        <w:rPr>
          <w:rFonts w:ascii="Arial" w:hAnsi="Arial" w:cs="Arial"/>
        </w:rPr>
        <w:t>Board</w:t>
      </w:r>
      <w:r w:rsidR="00EA5469" w:rsidRPr="00273653">
        <w:rPr>
          <w:rFonts w:ascii="Arial" w:hAnsi="Arial" w:cs="Arial"/>
        </w:rPr>
        <w:t xml:space="preserve">’s </w:t>
      </w:r>
      <w:r w:rsidRPr="00273653">
        <w:rPr>
          <w:rFonts w:ascii="Arial" w:hAnsi="Arial" w:cs="Arial"/>
        </w:rPr>
        <w:t xml:space="preserve">intent to award the </w:t>
      </w:r>
      <w:r w:rsidR="00D83F81" w:rsidRPr="00273653">
        <w:rPr>
          <w:rFonts w:ascii="Arial" w:hAnsi="Arial" w:cs="Arial"/>
        </w:rPr>
        <w:t>C</w:t>
      </w:r>
      <w:r w:rsidRPr="00273653">
        <w:rPr>
          <w:rFonts w:ascii="Arial" w:hAnsi="Arial" w:cs="Arial"/>
        </w:rPr>
        <w:t xml:space="preserve">ontract as a result of this RFP. </w:t>
      </w:r>
      <w:r w:rsidR="00942A99" w:rsidRPr="00273653">
        <w:rPr>
          <w:rFonts w:ascii="Arial" w:hAnsi="Arial" w:cs="Arial"/>
          <w:snapToGrid w:val="0"/>
        </w:rPr>
        <w:t>All decisions and actions under th</w:t>
      </w:r>
      <w:r w:rsidR="00EB45C2">
        <w:rPr>
          <w:rFonts w:ascii="Arial" w:hAnsi="Arial" w:cs="Arial"/>
          <w:snapToGrid w:val="0"/>
        </w:rPr>
        <w:t>is</w:t>
      </w:r>
      <w:r w:rsidR="00942A99" w:rsidRPr="00273653">
        <w:rPr>
          <w:rFonts w:ascii="Arial" w:hAnsi="Arial" w:cs="Arial"/>
          <w:snapToGrid w:val="0"/>
        </w:rPr>
        <w:t xml:space="preserve"> RFP are solely under the authority of the </w:t>
      </w:r>
      <w:r w:rsidR="00EA5469">
        <w:rPr>
          <w:rFonts w:ascii="Arial" w:hAnsi="Arial" w:cs="Arial"/>
          <w:snapToGrid w:val="0"/>
        </w:rPr>
        <w:t>Board</w:t>
      </w:r>
      <w:r w:rsidR="00942A99" w:rsidRPr="00273653">
        <w:rPr>
          <w:rFonts w:ascii="Arial" w:hAnsi="Arial" w:cs="Arial"/>
          <w:snapToGrid w:val="0"/>
        </w:rPr>
        <w:t xml:space="preserve">. </w:t>
      </w:r>
      <w:r w:rsidR="009A061F" w:rsidRPr="009A061F">
        <w:rPr>
          <w:rFonts w:ascii="Arial" w:hAnsi="Arial" w:cs="Arial"/>
          <w:snapToGrid w:val="0"/>
        </w:rPr>
        <w:t>This procurement is authorized under Chapter 40 of</w:t>
      </w:r>
      <w:r w:rsidR="009A061F">
        <w:rPr>
          <w:rFonts w:ascii="Arial" w:hAnsi="Arial" w:cs="Arial"/>
          <w:snapToGrid w:val="0"/>
        </w:rPr>
        <w:t xml:space="preserve"> the Wisconsin State Statutes. </w:t>
      </w:r>
      <w:r w:rsidR="00942A99" w:rsidRPr="00273653">
        <w:rPr>
          <w:rFonts w:ascii="Arial" w:hAnsi="Arial" w:cs="Arial"/>
        </w:rPr>
        <w:t>Procurement statutes and rules that govern other State agencies may not be applicable.</w:t>
      </w:r>
    </w:p>
    <w:p w14:paraId="4E29B4EB" w14:textId="77777777" w:rsidR="006456A2" w:rsidRPr="00273653" w:rsidRDefault="006456A2" w:rsidP="00644C74">
      <w:pPr>
        <w:pStyle w:val="Heading2"/>
        <w:ind w:left="720" w:hanging="720"/>
      </w:pPr>
      <w:r w:rsidRPr="00273653">
        <w:t>Appeals Process</w:t>
      </w:r>
    </w:p>
    <w:p w14:paraId="310E7D01" w14:textId="4CE3E0FD" w:rsidR="006A21C0" w:rsidRPr="00273653" w:rsidRDefault="006A21C0" w:rsidP="006A21C0">
      <w:pPr>
        <w:pStyle w:val="PlainText"/>
        <w:rPr>
          <w:rFonts w:cs="Arial"/>
          <w:szCs w:val="22"/>
        </w:rPr>
      </w:pPr>
      <w:r w:rsidRPr="00273653">
        <w:rPr>
          <w:rFonts w:cs="Arial"/>
          <w:szCs w:val="22"/>
        </w:rPr>
        <w:t>The appeals procedure applies to only those requests for bids/</w:t>
      </w:r>
      <w:r w:rsidR="008E1261">
        <w:rPr>
          <w:rFonts w:cs="Arial"/>
          <w:szCs w:val="22"/>
        </w:rPr>
        <w:t>proposal</w:t>
      </w:r>
      <w:r w:rsidR="008E1261" w:rsidRPr="00273653">
        <w:rPr>
          <w:rFonts w:cs="Arial"/>
          <w:szCs w:val="22"/>
        </w:rPr>
        <w:t xml:space="preserve">s </w:t>
      </w:r>
      <w:r w:rsidRPr="00273653">
        <w:rPr>
          <w:rFonts w:cs="Arial"/>
          <w:szCs w:val="22"/>
        </w:rPr>
        <w:t xml:space="preserve">for </w:t>
      </w:r>
      <w:r w:rsidR="00284E05">
        <w:rPr>
          <w:rFonts w:cs="Arial"/>
          <w:szCs w:val="22"/>
        </w:rPr>
        <w:t>S</w:t>
      </w:r>
      <w:r w:rsidR="00DF695C">
        <w:rPr>
          <w:rFonts w:cs="Arial"/>
          <w:szCs w:val="22"/>
        </w:rPr>
        <w:t xml:space="preserve">ervices that are over $50,000. </w:t>
      </w:r>
      <w:r w:rsidRPr="00273653">
        <w:rPr>
          <w:rFonts w:cs="Arial"/>
          <w:szCs w:val="22"/>
        </w:rPr>
        <w:t>Notices of intent to protest and pro</w:t>
      </w:r>
      <w:r w:rsidR="00DF695C">
        <w:rPr>
          <w:rFonts w:cs="Arial"/>
          <w:szCs w:val="22"/>
        </w:rPr>
        <w:t xml:space="preserve">tests must be made in writing. </w:t>
      </w:r>
      <w:r w:rsidRPr="00273653">
        <w:rPr>
          <w:rFonts w:cs="Arial"/>
          <w:szCs w:val="22"/>
        </w:rPr>
        <w:t xml:space="preserve">The appeal must state the contract number, detailed factual grounds for the objection to the contract award, and must identify any Wisconsin </w:t>
      </w:r>
      <w:r w:rsidR="008E1261">
        <w:rPr>
          <w:rFonts w:cs="Arial"/>
          <w:szCs w:val="22"/>
        </w:rPr>
        <w:t>S</w:t>
      </w:r>
      <w:r w:rsidR="008E1261" w:rsidRPr="00273653">
        <w:rPr>
          <w:rFonts w:cs="Arial"/>
          <w:szCs w:val="22"/>
        </w:rPr>
        <w:t xml:space="preserve">tatutes </w:t>
      </w:r>
      <w:r w:rsidRPr="00273653">
        <w:rPr>
          <w:rFonts w:cs="Arial"/>
          <w:szCs w:val="22"/>
        </w:rPr>
        <w:t>and Wisconsin Administrative Codes that are alleged to have been viol</w:t>
      </w:r>
      <w:r w:rsidR="00DF695C">
        <w:rPr>
          <w:rFonts w:cs="Arial"/>
          <w:szCs w:val="22"/>
        </w:rPr>
        <w:t xml:space="preserve">ated. </w:t>
      </w:r>
      <w:r w:rsidRPr="00273653">
        <w:rPr>
          <w:rFonts w:cs="Arial"/>
          <w:szCs w:val="22"/>
        </w:rPr>
        <w:t xml:space="preserve">Protestors can only submit </w:t>
      </w:r>
      <w:r w:rsidR="000E6C6A">
        <w:rPr>
          <w:rFonts w:cs="Arial"/>
          <w:szCs w:val="22"/>
        </w:rPr>
        <w:t xml:space="preserve">one </w:t>
      </w:r>
      <w:r w:rsidRPr="00273653">
        <w:rPr>
          <w:rFonts w:cs="Arial"/>
          <w:szCs w:val="22"/>
        </w:rPr>
        <w:t>appeal per award</w:t>
      </w:r>
      <w:r w:rsidR="000A6F08">
        <w:rPr>
          <w:rFonts w:cs="Arial"/>
          <w:szCs w:val="22"/>
        </w:rPr>
        <w:t xml:space="preserve">. </w:t>
      </w:r>
    </w:p>
    <w:p w14:paraId="13DE5CD8" w14:textId="77777777" w:rsidR="006A21C0" w:rsidRPr="00273653" w:rsidRDefault="006A21C0" w:rsidP="006A21C0">
      <w:pPr>
        <w:pStyle w:val="PlainText"/>
        <w:rPr>
          <w:rFonts w:cs="Arial"/>
          <w:szCs w:val="22"/>
        </w:rPr>
      </w:pPr>
    </w:p>
    <w:p w14:paraId="549C76E6" w14:textId="77777777" w:rsidR="006A21C0" w:rsidRDefault="006A21C0" w:rsidP="006A21C0">
      <w:pPr>
        <w:pStyle w:val="PlainText"/>
        <w:rPr>
          <w:rFonts w:cs="Arial"/>
          <w:szCs w:val="22"/>
        </w:rPr>
      </w:pPr>
      <w:r w:rsidRPr="00273653">
        <w:rPr>
          <w:rFonts w:cs="Arial"/>
          <w:szCs w:val="22"/>
        </w:rPr>
        <w:t xml:space="preserve">The written notice of intent to protest the Notice of Intent to Award of a </w:t>
      </w:r>
      <w:r w:rsidR="00284E05">
        <w:rPr>
          <w:rFonts w:cs="Arial"/>
          <w:szCs w:val="22"/>
        </w:rPr>
        <w:t>C</w:t>
      </w:r>
      <w:r w:rsidRPr="00273653">
        <w:rPr>
          <w:rFonts w:cs="Arial"/>
          <w:szCs w:val="22"/>
        </w:rPr>
        <w:t>ontract must be filed with:</w:t>
      </w:r>
    </w:p>
    <w:p w14:paraId="118A4ABF" w14:textId="77777777" w:rsidR="005167C7" w:rsidRDefault="005167C7" w:rsidP="006A21C0">
      <w:pPr>
        <w:pStyle w:val="PlainText"/>
        <w:rPr>
          <w:rFonts w:cs="Arial"/>
          <w:szCs w:val="22"/>
        </w:rPr>
      </w:pP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5167C7" w14:paraId="22F46A96" w14:textId="77777777" w:rsidTr="006A2BD7">
        <w:tc>
          <w:tcPr>
            <w:tcW w:w="4950" w:type="dxa"/>
          </w:tcPr>
          <w:p w14:paraId="0162382A" w14:textId="77777777" w:rsidR="005167C7" w:rsidRPr="00F64402" w:rsidRDefault="005167C7" w:rsidP="006A2BD7">
            <w:pPr>
              <w:pStyle w:val="PlainText"/>
              <w:rPr>
                <w:rFonts w:cs="Arial"/>
                <w:b/>
                <w:szCs w:val="22"/>
              </w:rPr>
            </w:pPr>
            <w:r w:rsidRPr="00F64402">
              <w:rPr>
                <w:rFonts w:cs="Arial"/>
                <w:b/>
                <w:szCs w:val="22"/>
              </w:rPr>
              <w:t>Express/Common Carrier Delivery:</w:t>
            </w:r>
          </w:p>
        </w:tc>
        <w:tc>
          <w:tcPr>
            <w:tcW w:w="4950" w:type="dxa"/>
          </w:tcPr>
          <w:p w14:paraId="30114E45" w14:textId="77777777" w:rsidR="005167C7" w:rsidRPr="00F64402" w:rsidRDefault="005167C7"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b/>
              </w:rPr>
            </w:pPr>
            <w:r w:rsidRPr="00F64402">
              <w:rPr>
                <w:rFonts w:ascii="Arial" w:hAnsi="Arial" w:cs="Arial"/>
                <w:b/>
              </w:rPr>
              <w:t>USPS Delivery</w:t>
            </w:r>
          </w:p>
        </w:tc>
      </w:tr>
      <w:tr w:rsidR="005167C7" w14:paraId="601B2FB3" w14:textId="77777777" w:rsidTr="006A2BD7">
        <w:tc>
          <w:tcPr>
            <w:tcW w:w="4950" w:type="dxa"/>
          </w:tcPr>
          <w:p w14:paraId="15A9C058" w14:textId="70C9E863" w:rsidR="005167C7" w:rsidRDefault="005167C7" w:rsidP="008E1261">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Pr>
                <w:rFonts w:ascii="Arial" w:hAnsi="Arial" w:cs="Arial"/>
              </w:rPr>
              <w:t>Group Insurance</w:t>
            </w:r>
            <w:r w:rsidRPr="008E180B">
              <w:rPr>
                <w:rFonts w:ascii="Arial" w:hAnsi="Arial" w:cs="Arial"/>
              </w:rPr>
              <w:t xml:space="preserve"> Board </w:t>
            </w:r>
          </w:p>
        </w:tc>
        <w:tc>
          <w:tcPr>
            <w:tcW w:w="4950" w:type="dxa"/>
          </w:tcPr>
          <w:p w14:paraId="2C44A282" w14:textId="0CE51E52" w:rsidR="005167C7" w:rsidRDefault="005167C7" w:rsidP="008E1261">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Pr>
                <w:rFonts w:ascii="Arial" w:hAnsi="Arial" w:cs="Arial"/>
              </w:rPr>
              <w:t>Group Insurance</w:t>
            </w:r>
            <w:r w:rsidRPr="008E180B">
              <w:rPr>
                <w:rFonts w:ascii="Arial" w:hAnsi="Arial" w:cs="Arial"/>
              </w:rPr>
              <w:t xml:space="preserve"> Board </w:t>
            </w:r>
          </w:p>
        </w:tc>
      </w:tr>
      <w:tr w:rsidR="005167C7" w14:paraId="66878897" w14:textId="77777777" w:rsidTr="006A2BD7">
        <w:tc>
          <w:tcPr>
            <w:tcW w:w="4950" w:type="dxa"/>
          </w:tcPr>
          <w:p w14:paraId="0E01DFC0" w14:textId="61300621" w:rsidR="005167C7" w:rsidRDefault="008E1261"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Pr>
                <w:rFonts w:ascii="Arial" w:hAnsi="Arial" w:cs="Arial"/>
              </w:rPr>
              <w:t xml:space="preserve">c/o </w:t>
            </w:r>
            <w:r w:rsidR="005167C7">
              <w:rPr>
                <w:rFonts w:ascii="Arial" w:hAnsi="Arial" w:cs="Arial"/>
              </w:rPr>
              <w:t>Robert J. Conlin, Secretary</w:t>
            </w:r>
          </w:p>
        </w:tc>
        <w:tc>
          <w:tcPr>
            <w:tcW w:w="4950" w:type="dxa"/>
          </w:tcPr>
          <w:p w14:paraId="78F19254" w14:textId="0A6808AB" w:rsidR="005167C7" w:rsidRDefault="008E1261"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Pr>
                <w:rFonts w:ascii="Arial" w:hAnsi="Arial" w:cs="Arial"/>
              </w:rPr>
              <w:t xml:space="preserve">c/o </w:t>
            </w:r>
            <w:r w:rsidR="005167C7">
              <w:rPr>
                <w:rFonts w:ascii="Arial" w:hAnsi="Arial" w:cs="Arial"/>
              </w:rPr>
              <w:t>Robert J. Conlin, Secretary</w:t>
            </w:r>
          </w:p>
        </w:tc>
      </w:tr>
      <w:tr w:rsidR="005167C7" w14:paraId="2C54A7CC" w14:textId="77777777" w:rsidTr="006A2BD7">
        <w:tc>
          <w:tcPr>
            <w:tcW w:w="4950" w:type="dxa"/>
          </w:tcPr>
          <w:p w14:paraId="788FEE3B" w14:textId="77777777" w:rsidR="005167C7" w:rsidRDefault="005167C7"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73653">
              <w:rPr>
                <w:rFonts w:ascii="Arial" w:hAnsi="Arial" w:cs="Arial"/>
              </w:rPr>
              <w:t>Wisconsin Dep</w:t>
            </w:r>
            <w:r>
              <w:rPr>
                <w:rFonts w:ascii="Arial" w:hAnsi="Arial" w:cs="Arial"/>
              </w:rPr>
              <w:t>artment of Employee Trust Funds</w:t>
            </w:r>
          </w:p>
        </w:tc>
        <w:tc>
          <w:tcPr>
            <w:tcW w:w="4950" w:type="dxa"/>
          </w:tcPr>
          <w:p w14:paraId="44B3446B" w14:textId="77777777" w:rsidR="005167C7" w:rsidRDefault="005167C7"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sidRPr="00273653">
              <w:rPr>
                <w:rFonts w:ascii="Arial" w:hAnsi="Arial" w:cs="Arial"/>
              </w:rPr>
              <w:t>Wisconsin Dep</w:t>
            </w:r>
            <w:r>
              <w:rPr>
                <w:rFonts w:ascii="Arial" w:hAnsi="Arial" w:cs="Arial"/>
              </w:rPr>
              <w:t>artment of Employee Trust Funds</w:t>
            </w:r>
          </w:p>
        </w:tc>
      </w:tr>
      <w:tr w:rsidR="005167C7" w14:paraId="798BCB62" w14:textId="77777777" w:rsidTr="006A2BD7">
        <w:tc>
          <w:tcPr>
            <w:tcW w:w="4950" w:type="dxa"/>
          </w:tcPr>
          <w:p w14:paraId="46B5F84D" w14:textId="77777777" w:rsidR="005167C7" w:rsidRPr="00F64402" w:rsidRDefault="005167C7" w:rsidP="006A2BD7">
            <w:pPr>
              <w:pStyle w:val="PlainText"/>
              <w:rPr>
                <w:rFonts w:cs="Arial"/>
                <w:szCs w:val="22"/>
              </w:rPr>
            </w:pPr>
            <w:r>
              <w:rPr>
                <w:rFonts w:cs="Arial"/>
                <w:szCs w:val="22"/>
              </w:rPr>
              <w:t>801 West Badger Road</w:t>
            </w:r>
          </w:p>
        </w:tc>
        <w:tc>
          <w:tcPr>
            <w:tcW w:w="4950" w:type="dxa"/>
          </w:tcPr>
          <w:p w14:paraId="4E038ED8" w14:textId="77777777" w:rsidR="005167C7" w:rsidRDefault="005167C7" w:rsidP="006A2BD7">
            <w:pPr>
              <w:keepNext/>
              <w:keepLines/>
              <w:widowControl w:val="0"/>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Pr>
                <w:rFonts w:ascii="Arial" w:hAnsi="Arial" w:cs="Arial"/>
              </w:rPr>
              <w:t>PO Box 7931</w:t>
            </w:r>
          </w:p>
        </w:tc>
      </w:tr>
      <w:tr w:rsidR="005167C7" w14:paraId="2D95A31C" w14:textId="77777777" w:rsidTr="006A2BD7">
        <w:tc>
          <w:tcPr>
            <w:tcW w:w="4950" w:type="dxa"/>
          </w:tcPr>
          <w:p w14:paraId="0306636B" w14:textId="77777777" w:rsidR="005167C7" w:rsidRPr="00F64402" w:rsidRDefault="005167C7" w:rsidP="006A2BD7">
            <w:pPr>
              <w:pStyle w:val="PlainText"/>
              <w:rPr>
                <w:rFonts w:cs="Arial"/>
                <w:szCs w:val="22"/>
              </w:rPr>
            </w:pPr>
            <w:r w:rsidRPr="009C7D4E">
              <w:rPr>
                <w:rFonts w:cs="Arial"/>
                <w:szCs w:val="22"/>
              </w:rPr>
              <w:t>Madison, WI  53713-2526</w:t>
            </w:r>
          </w:p>
        </w:tc>
        <w:tc>
          <w:tcPr>
            <w:tcW w:w="4950" w:type="dxa"/>
          </w:tcPr>
          <w:p w14:paraId="2720BA3E" w14:textId="77777777" w:rsidR="005167C7" w:rsidRDefault="005167C7" w:rsidP="006A2BD7">
            <w:pPr>
              <w:tabs>
                <w:tab w:val="left" w:pos="714"/>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Arial" w:hAnsi="Arial" w:cs="Arial"/>
              </w:rPr>
            </w:pPr>
            <w:r>
              <w:rPr>
                <w:rFonts w:ascii="Arial" w:hAnsi="Arial" w:cs="Arial"/>
              </w:rPr>
              <w:t>Madison WI 53707-7931</w:t>
            </w:r>
          </w:p>
        </w:tc>
      </w:tr>
    </w:tbl>
    <w:p w14:paraId="609F37B2" w14:textId="77777777" w:rsidR="005167C7" w:rsidRPr="00273653" w:rsidRDefault="005167C7" w:rsidP="006A21C0">
      <w:pPr>
        <w:pStyle w:val="PlainText"/>
        <w:rPr>
          <w:rFonts w:cs="Arial"/>
          <w:szCs w:val="22"/>
        </w:rPr>
      </w:pPr>
    </w:p>
    <w:p w14:paraId="4A0DEBBD" w14:textId="5D3B3894" w:rsidR="006A21C0" w:rsidRPr="00273653" w:rsidRDefault="006A21C0" w:rsidP="006A21C0">
      <w:pPr>
        <w:pStyle w:val="PlainText"/>
        <w:rPr>
          <w:rFonts w:cs="Arial"/>
          <w:szCs w:val="22"/>
        </w:rPr>
      </w:pPr>
      <w:r w:rsidRPr="00273653">
        <w:rPr>
          <w:rFonts w:cs="Arial"/>
          <w:szCs w:val="22"/>
        </w:rPr>
        <w:t xml:space="preserve">This notice must be received in </w:t>
      </w:r>
      <w:r w:rsidR="000E6C6A">
        <w:rPr>
          <w:rFonts w:cs="Arial"/>
          <w:szCs w:val="22"/>
        </w:rPr>
        <w:t>the ETF</w:t>
      </w:r>
      <w:r w:rsidR="000E6C6A" w:rsidRPr="00273653">
        <w:rPr>
          <w:rFonts w:cs="Arial"/>
          <w:szCs w:val="22"/>
        </w:rPr>
        <w:t xml:space="preserve"> </w:t>
      </w:r>
      <w:r w:rsidRPr="00273653">
        <w:rPr>
          <w:rFonts w:cs="Arial"/>
          <w:szCs w:val="22"/>
        </w:rPr>
        <w:t xml:space="preserve">office no later than five (5) </w:t>
      </w:r>
      <w:r w:rsidR="00202045">
        <w:rPr>
          <w:rFonts w:cs="Arial"/>
          <w:szCs w:val="22"/>
        </w:rPr>
        <w:t>Business Days</w:t>
      </w:r>
      <w:r w:rsidRPr="00273653">
        <w:rPr>
          <w:rFonts w:cs="Arial"/>
          <w:szCs w:val="22"/>
        </w:rPr>
        <w:t xml:space="preserve"> after the Notice of Intent to Award is issued. Fax </w:t>
      </w:r>
      <w:r w:rsidR="00B67B9C">
        <w:rPr>
          <w:rFonts w:cs="Arial"/>
          <w:szCs w:val="22"/>
        </w:rPr>
        <w:t xml:space="preserve">and e-mail </w:t>
      </w:r>
      <w:r w:rsidR="00DF695C">
        <w:rPr>
          <w:rFonts w:cs="Arial"/>
          <w:szCs w:val="22"/>
        </w:rPr>
        <w:t>documents will not be accepted.</w:t>
      </w:r>
      <w:r w:rsidRPr="00273653">
        <w:rPr>
          <w:rFonts w:cs="Arial"/>
          <w:szCs w:val="22"/>
        </w:rPr>
        <w:t xml:space="preserve"> The written protest must be received within ten (10) </w:t>
      </w:r>
      <w:r w:rsidR="00202045">
        <w:rPr>
          <w:rFonts w:cs="Arial"/>
          <w:szCs w:val="22"/>
        </w:rPr>
        <w:t>Business</w:t>
      </w:r>
      <w:r w:rsidR="00202045" w:rsidRPr="00273653">
        <w:rPr>
          <w:rFonts w:cs="Arial"/>
          <w:szCs w:val="22"/>
        </w:rPr>
        <w:t xml:space="preserve"> </w:t>
      </w:r>
      <w:r w:rsidR="00202045">
        <w:rPr>
          <w:rFonts w:cs="Arial"/>
          <w:szCs w:val="22"/>
        </w:rPr>
        <w:t>D</w:t>
      </w:r>
      <w:r w:rsidRPr="00273653">
        <w:rPr>
          <w:rFonts w:cs="Arial"/>
          <w:szCs w:val="22"/>
        </w:rPr>
        <w:t>ays after the Notice of Intent to Award is issued.</w:t>
      </w:r>
    </w:p>
    <w:p w14:paraId="1319940B" w14:textId="77777777" w:rsidR="006A21C0" w:rsidRPr="00273653" w:rsidRDefault="006A21C0" w:rsidP="006A21C0">
      <w:pPr>
        <w:pStyle w:val="PlainText"/>
        <w:rPr>
          <w:rFonts w:cs="Arial"/>
          <w:szCs w:val="22"/>
        </w:rPr>
      </w:pPr>
    </w:p>
    <w:p w14:paraId="5751306D" w14:textId="77777777" w:rsidR="006A21C0" w:rsidRPr="00273653" w:rsidRDefault="006A21C0" w:rsidP="006A21C0">
      <w:pPr>
        <w:pStyle w:val="PlainText"/>
        <w:rPr>
          <w:rFonts w:cs="Arial"/>
          <w:szCs w:val="22"/>
        </w:rPr>
      </w:pPr>
      <w:r w:rsidRPr="00273653">
        <w:rPr>
          <w:rFonts w:cs="Arial"/>
          <w:szCs w:val="22"/>
        </w:rPr>
        <w:t>The decision of the Group Insurance Board is final and subjective judgment of evaluators is not appealable.</w:t>
      </w:r>
    </w:p>
    <w:p w14:paraId="60BBBBE8" w14:textId="026333A5" w:rsidR="006456A2" w:rsidRPr="00273653" w:rsidRDefault="006456A2" w:rsidP="001E656B">
      <w:pPr>
        <w:pStyle w:val="Heading1"/>
        <w:tabs>
          <w:tab w:val="num" w:pos="4320"/>
        </w:tabs>
        <w:ind w:left="360" w:hanging="360"/>
      </w:pPr>
      <w:bookmarkStart w:id="15" w:name="_Toc398562525"/>
      <w:bookmarkStart w:id="16" w:name="_Toc448905183"/>
      <w:r w:rsidRPr="00273653">
        <w:t xml:space="preserve">Mandatory </w:t>
      </w:r>
      <w:r w:rsidR="00FD510B">
        <w:t>Proposer</w:t>
      </w:r>
      <w:r w:rsidRPr="00273653">
        <w:t xml:space="preserve"> Qualifications</w:t>
      </w:r>
      <w:bookmarkEnd w:id="15"/>
      <w:bookmarkEnd w:id="16"/>
    </w:p>
    <w:p w14:paraId="1D24AC38" w14:textId="77777777" w:rsidR="006456A2" w:rsidRPr="00273653" w:rsidRDefault="006456A2" w:rsidP="006456A2">
      <w:pPr>
        <w:pStyle w:val="LRWLBodyText"/>
        <w:rPr>
          <w:rFonts w:cs="Arial"/>
          <w:b/>
        </w:rPr>
      </w:pPr>
      <w:r w:rsidRPr="00273653">
        <w:rPr>
          <w:rFonts w:cs="Arial"/>
          <w:b/>
        </w:rPr>
        <w:t xml:space="preserve">This section is </w:t>
      </w:r>
      <w:r w:rsidR="00EA5469">
        <w:rPr>
          <w:rFonts w:cs="Arial"/>
          <w:b/>
        </w:rPr>
        <w:t>pass/fail</w:t>
      </w:r>
      <w:r w:rsidRPr="00273653">
        <w:rPr>
          <w:rFonts w:cs="Arial"/>
          <w:b/>
        </w:rPr>
        <w:t>. (0 points)</w:t>
      </w:r>
    </w:p>
    <w:p w14:paraId="22EF9A44" w14:textId="5EBA1997" w:rsidR="006456A2" w:rsidRPr="00DC7DC5" w:rsidRDefault="00330F4B" w:rsidP="006456A2">
      <w:pPr>
        <w:pStyle w:val="LRWLBodyText"/>
        <w:rPr>
          <w:rFonts w:cs="Arial"/>
        </w:rPr>
      </w:pPr>
      <w:r>
        <w:rPr>
          <w:rFonts w:cs="Arial"/>
          <w:b/>
        </w:rPr>
        <w:t xml:space="preserve">Use Attachment </w:t>
      </w:r>
      <w:r w:rsidR="00E142D9">
        <w:rPr>
          <w:rFonts w:cs="Arial"/>
          <w:b/>
        </w:rPr>
        <w:t>B</w:t>
      </w:r>
      <w:r w:rsidR="006456A2" w:rsidRPr="00DC7DC5">
        <w:rPr>
          <w:rFonts w:cs="Arial"/>
          <w:b/>
        </w:rPr>
        <w:t xml:space="preserve"> to respond</w:t>
      </w:r>
      <w:r w:rsidR="000A6F08">
        <w:rPr>
          <w:rFonts w:cs="Arial"/>
          <w:b/>
        </w:rPr>
        <w:t xml:space="preserve">. </w:t>
      </w:r>
    </w:p>
    <w:p w14:paraId="5CFDE5D6" w14:textId="20DDCA9D" w:rsidR="006456A2" w:rsidRPr="00DC7DC5" w:rsidRDefault="006456A2" w:rsidP="006456A2">
      <w:pPr>
        <w:pStyle w:val="LRWLBodyText"/>
        <w:rPr>
          <w:rFonts w:cs="Arial"/>
          <w:b/>
        </w:rPr>
      </w:pPr>
      <w:r w:rsidRPr="00273653">
        <w:rPr>
          <w:rFonts w:cs="Arial"/>
        </w:rPr>
        <w:t xml:space="preserve">The following requirements are </w:t>
      </w:r>
      <w:r w:rsidR="00284E05">
        <w:rPr>
          <w:rFonts w:cs="Arial"/>
        </w:rPr>
        <w:t>M</w:t>
      </w:r>
      <w:r w:rsidRPr="00273653">
        <w:rPr>
          <w:rFonts w:cs="Arial"/>
        </w:rPr>
        <w:t xml:space="preserve">andatory </w:t>
      </w:r>
      <w:r w:rsidR="001823A3">
        <w:rPr>
          <w:rFonts w:cs="Arial"/>
        </w:rPr>
        <w:t>for</w:t>
      </w:r>
      <w:r w:rsidR="001823A3" w:rsidRPr="00273653">
        <w:rPr>
          <w:rFonts w:cs="Arial"/>
        </w:rPr>
        <w:t xml:space="preserve"> </w:t>
      </w:r>
      <w:r w:rsidRPr="00273653">
        <w:rPr>
          <w:rFonts w:cs="Arial"/>
        </w:rPr>
        <w:t xml:space="preserve">any Proposer who submits a </w:t>
      </w:r>
      <w:r w:rsidR="0029723D">
        <w:rPr>
          <w:rFonts w:cs="Arial"/>
        </w:rPr>
        <w:t>Proposal</w:t>
      </w:r>
      <w:r w:rsidR="00330F4B">
        <w:rPr>
          <w:rFonts w:cs="Arial"/>
        </w:rPr>
        <w:t>.</w:t>
      </w:r>
      <w:r w:rsidRPr="00273653">
        <w:rPr>
          <w:rFonts w:cs="Arial"/>
        </w:rPr>
        <w:t xml:space="preserve"> Failure to comply with one or more of the </w:t>
      </w:r>
      <w:r w:rsidR="00284E05">
        <w:rPr>
          <w:rFonts w:cs="Arial"/>
        </w:rPr>
        <w:t>M</w:t>
      </w:r>
      <w:r w:rsidRPr="00273653">
        <w:rPr>
          <w:rFonts w:cs="Arial"/>
        </w:rPr>
        <w:t xml:space="preserve">andatory qualifications may disqualify the </w:t>
      </w:r>
      <w:r w:rsidR="00405DBC">
        <w:rPr>
          <w:rFonts w:cs="Arial"/>
        </w:rPr>
        <w:t>Proposer</w:t>
      </w:r>
      <w:r w:rsidRPr="00273653">
        <w:rPr>
          <w:rFonts w:cs="Arial"/>
        </w:rPr>
        <w:t xml:space="preserve">. A response to each item in Attachment </w:t>
      </w:r>
      <w:r w:rsidR="00E142D9">
        <w:rPr>
          <w:rFonts w:cs="Arial"/>
        </w:rPr>
        <w:t>B</w:t>
      </w:r>
      <w:r w:rsidRPr="00273653">
        <w:rPr>
          <w:rFonts w:cs="Arial"/>
        </w:rPr>
        <w:t xml:space="preserve"> is a </w:t>
      </w:r>
      <w:r w:rsidR="00FA6249">
        <w:rPr>
          <w:rFonts w:cs="Arial"/>
        </w:rPr>
        <w:t>M</w:t>
      </w:r>
      <w:r w:rsidRPr="00273653">
        <w:rPr>
          <w:rFonts w:cs="Arial"/>
        </w:rPr>
        <w:t xml:space="preserve">andatory qualification. </w:t>
      </w:r>
      <w:r w:rsidRPr="00273653">
        <w:rPr>
          <w:rFonts w:cs="Arial"/>
          <w:b/>
        </w:rPr>
        <w:t xml:space="preserve">If </w:t>
      </w:r>
      <w:r w:rsidR="001823A3">
        <w:rPr>
          <w:rFonts w:cs="Arial"/>
          <w:b/>
        </w:rPr>
        <w:t>the Proposer</w:t>
      </w:r>
      <w:r w:rsidR="001823A3" w:rsidRPr="00273653">
        <w:rPr>
          <w:rFonts w:cs="Arial"/>
          <w:b/>
        </w:rPr>
        <w:t xml:space="preserve"> </w:t>
      </w:r>
      <w:r w:rsidRPr="00273653">
        <w:rPr>
          <w:rFonts w:cs="Arial"/>
          <w:b/>
        </w:rPr>
        <w:t>cannot agree t</w:t>
      </w:r>
      <w:r w:rsidR="001251A3" w:rsidRPr="00273653">
        <w:rPr>
          <w:rFonts w:cs="Arial"/>
          <w:b/>
        </w:rPr>
        <w:t xml:space="preserve">o each item listed, </w:t>
      </w:r>
      <w:r w:rsidR="001823A3">
        <w:rPr>
          <w:rFonts w:cs="Arial"/>
          <w:b/>
        </w:rPr>
        <w:t>the Proposer</w:t>
      </w:r>
      <w:r w:rsidR="001823A3" w:rsidRPr="00273653">
        <w:rPr>
          <w:rFonts w:cs="Arial"/>
          <w:b/>
        </w:rPr>
        <w:t xml:space="preserve"> </w:t>
      </w:r>
      <w:r w:rsidR="001251A3" w:rsidRPr="00273653">
        <w:rPr>
          <w:rFonts w:cs="Arial"/>
          <w:b/>
        </w:rPr>
        <w:t xml:space="preserve">must </w:t>
      </w:r>
      <w:r w:rsidR="00405DBC">
        <w:rPr>
          <w:rFonts w:cs="Arial"/>
          <w:b/>
        </w:rPr>
        <w:t xml:space="preserve">so </w:t>
      </w:r>
      <w:r w:rsidRPr="00273653">
        <w:rPr>
          <w:rFonts w:cs="Arial"/>
          <w:b/>
        </w:rPr>
        <w:t xml:space="preserve">specify </w:t>
      </w:r>
      <w:r w:rsidR="00405DBC">
        <w:rPr>
          <w:rFonts w:cs="Arial"/>
          <w:b/>
        </w:rPr>
        <w:t>and provide</w:t>
      </w:r>
      <w:r w:rsidR="00405DBC" w:rsidRPr="00273653">
        <w:rPr>
          <w:rFonts w:cs="Arial"/>
          <w:b/>
        </w:rPr>
        <w:t xml:space="preserve"> </w:t>
      </w:r>
      <w:r w:rsidRPr="00273653">
        <w:rPr>
          <w:rFonts w:cs="Arial"/>
          <w:b/>
        </w:rPr>
        <w:t>the reason</w:t>
      </w:r>
      <w:r w:rsidR="00405DBC">
        <w:rPr>
          <w:rFonts w:cs="Arial"/>
          <w:b/>
        </w:rPr>
        <w:t xml:space="preserve"> for the disagreement</w:t>
      </w:r>
      <w:r w:rsidRPr="00273653">
        <w:rPr>
          <w:rFonts w:cs="Arial"/>
          <w:b/>
        </w:rPr>
        <w:t xml:space="preserve"> in </w:t>
      </w:r>
      <w:r w:rsidRPr="00DC7DC5">
        <w:rPr>
          <w:rFonts w:cs="Arial"/>
          <w:b/>
        </w:rPr>
        <w:t xml:space="preserve">Tab </w:t>
      </w:r>
      <w:r w:rsidR="00036812">
        <w:rPr>
          <w:rFonts w:cs="Arial"/>
          <w:b/>
        </w:rPr>
        <w:t>3</w:t>
      </w:r>
      <w:r w:rsidR="00DC7DC5" w:rsidRPr="00DC7DC5">
        <w:rPr>
          <w:rFonts w:cs="Arial"/>
          <w:b/>
        </w:rPr>
        <w:t xml:space="preserve"> </w:t>
      </w:r>
      <w:r w:rsidRPr="00DC7DC5">
        <w:rPr>
          <w:rFonts w:cs="Arial"/>
          <w:b/>
        </w:rPr>
        <w:t xml:space="preserve">– Assumptions and Exceptions – of </w:t>
      </w:r>
      <w:r w:rsidR="001823A3">
        <w:rPr>
          <w:rFonts w:cs="Arial"/>
          <w:b/>
        </w:rPr>
        <w:t>the Proposer’s</w:t>
      </w:r>
      <w:r w:rsidRPr="00DC7DC5">
        <w:rPr>
          <w:rFonts w:cs="Arial"/>
          <w:b/>
        </w:rPr>
        <w:t xml:space="preserve"> response.</w:t>
      </w:r>
    </w:p>
    <w:p w14:paraId="1367395B" w14:textId="43F66A78" w:rsidR="006456A2" w:rsidRPr="00273653" w:rsidRDefault="006456A2" w:rsidP="006456A2">
      <w:pPr>
        <w:pStyle w:val="LRWLBodyText"/>
        <w:rPr>
          <w:rFonts w:cs="Arial"/>
        </w:rPr>
      </w:pPr>
      <w:r w:rsidRPr="00273653">
        <w:rPr>
          <w:rFonts w:cs="Arial"/>
        </w:rPr>
        <w:t xml:space="preserve">Conditions of the Proposal that </w:t>
      </w:r>
      <w:r w:rsidR="000E6C6A">
        <w:rPr>
          <w:rFonts w:cs="Arial"/>
        </w:rPr>
        <w:t>have</w:t>
      </w:r>
      <w:r w:rsidR="000E6C6A" w:rsidRPr="00273653">
        <w:rPr>
          <w:rFonts w:cs="Arial"/>
        </w:rPr>
        <w:t xml:space="preserve"> </w:t>
      </w:r>
      <w:r w:rsidRPr="00273653">
        <w:rPr>
          <w:rFonts w:cs="Arial"/>
        </w:rPr>
        <w:t xml:space="preserve">the word “must” or “shall” describe a </w:t>
      </w:r>
      <w:r w:rsidR="00FA6249">
        <w:rPr>
          <w:rFonts w:cs="Arial"/>
        </w:rPr>
        <w:t>M</w:t>
      </w:r>
      <w:r w:rsidRPr="00273653">
        <w:rPr>
          <w:rFonts w:cs="Arial"/>
        </w:rPr>
        <w:t>andatory qualification</w:t>
      </w:r>
      <w:r w:rsidR="000A6F08">
        <w:rPr>
          <w:rFonts w:cs="Arial"/>
        </w:rPr>
        <w:t xml:space="preserve">. </w:t>
      </w:r>
      <w:r w:rsidR="00011F15">
        <w:rPr>
          <w:rFonts w:cs="Arial"/>
        </w:rPr>
        <w:t xml:space="preserve"> </w:t>
      </w:r>
      <w:r w:rsidR="000A6F08">
        <w:rPr>
          <w:rFonts w:cs="Arial"/>
        </w:rPr>
        <w:t xml:space="preserve"> </w:t>
      </w:r>
    </w:p>
    <w:tbl>
      <w:tblPr>
        <w:tblW w:w="0" w:type="auto"/>
        <w:tblInd w:w="-5" w:type="dxa"/>
        <w:tblLook w:val="04A0" w:firstRow="1" w:lastRow="0" w:firstColumn="1" w:lastColumn="0" w:noHBand="0" w:noVBand="1"/>
      </w:tblPr>
      <w:tblGrid>
        <w:gridCol w:w="889"/>
        <w:gridCol w:w="8476"/>
      </w:tblGrid>
      <w:tr w:rsidR="006456A2" w:rsidRPr="00273653" w14:paraId="42CC8073" w14:textId="77777777" w:rsidTr="0046721F">
        <w:tc>
          <w:tcPr>
            <w:tcW w:w="889" w:type="dxa"/>
          </w:tcPr>
          <w:p w14:paraId="7A102023" w14:textId="77777777" w:rsidR="006456A2" w:rsidRPr="00B55974" w:rsidRDefault="006456A2" w:rsidP="006456A2">
            <w:pPr>
              <w:pStyle w:val="LRWLBodyText"/>
              <w:rPr>
                <w:rFonts w:cs="Arial"/>
                <w:b/>
              </w:rPr>
            </w:pPr>
            <w:r w:rsidRPr="00B55974">
              <w:rPr>
                <w:rFonts w:cs="Arial"/>
                <w:b/>
              </w:rPr>
              <w:t>4.1</w:t>
            </w:r>
          </w:p>
        </w:tc>
        <w:tc>
          <w:tcPr>
            <w:tcW w:w="8476" w:type="dxa"/>
          </w:tcPr>
          <w:p w14:paraId="57ADD4E0" w14:textId="009015D6" w:rsidR="006456A2" w:rsidRPr="00273653" w:rsidRDefault="006456A2" w:rsidP="000C20A9">
            <w:pPr>
              <w:pStyle w:val="LRWLBodyText"/>
              <w:rPr>
                <w:rFonts w:cs="Arial"/>
              </w:rPr>
            </w:pPr>
            <w:r w:rsidRPr="00273653">
              <w:rPr>
                <w:rFonts w:cs="Arial"/>
              </w:rPr>
              <w:t>Pursuant to</w:t>
            </w:r>
            <w:r w:rsidR="007B165A">
              <w:rPr>
                <w:rFonts w:cs="Arial"/>
              </w:rPr>
              <w:t xml:space="preserve"> Wis. Stats.</w:t>
            </w:r>
            <w:r w:rsidRPr="00273653">
              <w:rPr>
                <w:rFonts w:cs="Arial"/>
              </w:rPr>
              <w:t xml:space="preserve"> </w:t>
            </w:r>
            <w:r w:rsidR="007B165A" w:rsidRPr="00273653">
              <w:rPr>
                <w:rFonts w:cs="Arial"/>
              </w:rPr>
              <w:t>§</w:t>
            </w:r>
            <w:r w:rsidR="007B165A">
              <w:rPr>
                <w:rFonts w:cs="Arial"/>
              </w:rPr>
              <w:t xml:space="preserve"> </w:t>
            </w:r>
            <w:r w:rsidRPr="00273653">
              <w:rPr>
                <w:rFonts w:cs="Arial"/>
              </w:rPr>
              <w:t>16.705</w:t>
            </w:r>
            <w:r w:rsidR="001A13F4">
              <w:rPr>
                <w:rFonts w:cs="Arial"/>
              </w:rPr>
              <w:t xml:space="preserve"> </w:t>
            </w:r>
            <w:r w:rsidRPr="00273653">
              <w:rPr>
                <w:rFonts w:cs="Arial"/>
              </w:rPr>
              <w:t xml:space="preserve">(1r), </w:t>
            </w:r>
            <w:r w:rsidR="0039414A">
              <w:rPr>
                <w:rFonts w:cs="Arial"/>
              </w:rPr>
              <w:t>the S</w:t>
            </w:r>
            <w:r w:rsidRPr="00273653">
              <w:rPr>
                <w:rFonts w:cs="Arial"/>
              </w:rPr>
              <w:t xml:space="preserve">ervices must be performed within the United States. </w:t>
            </w:r>
          </w:p>
        </w:tc>
      </w:tr>
      <w:tr w:rsidR="006456A2" w:rsidRPr="00273653" w14:paraId="0FF36E50" w14:textId="77777777" w:rsidTr="0046721F">
        <w:tc>
          <w:tcPr>
            <w:tcW w:w="889" w:type="dxa"/>
          </w:tcPr>
          <w:p w14:paraId="3A6884E8" w14:textId="77777777" w:rsidR="006456A2" w:rsidRPr="00B55974" w:rsidRDefault="006456A2" w:rsidP="006456A2">
            <w:pPr>
              <w:pStyle w:val="LRWLBodyText"/>
              <w:rPr>
                <w:rFonts w:cs="Arial"/>
                <w:b/>
              </w:rPr>
            </w:pPr>
            <w:r w:rsidRPr="00B55974">
              <w:rPr>
                <w:rFonts w:cs="Arial"/>
                <w:b/>
              </w:rPr>
              <w:lastRenderedPageBreak/>
              <w:t>4.2</w:t>
            </w:r>
          </w:p>
        </w:tc>
        <w:tc>
          <w:tcPr>
            <w:tcW w:w="8476" w:type="dxa"/>
          </w:tcPr>
          <w:p w14:paraId="56BF9CE9" w14:textId="6B84D8C5" w:rsidR="006456A2" w:rsidRPr="00273653" w:rsidRDefault="00FD510B" w:rsidP="006456A2">
            <w:pPr>
              <w:pStyle w:val="LRWLBodyText"/>
              <w:rPr>
                <w:rFonts w:cs="Arial"/>
              </w:rPr>
            </w:pPr>
            <w:r>
              <w:rPr>
                <w:rFonts w:cs="Arial"/>
              </w:rPr>
              <w:t>Proposer</w:t>
            </w:r>
            <w:r w:rsidR="00EB45C2" w:rsidRPr="00273653">
              <w:rPr>
                <w:rFonts w:cs="Arial"/>
              </w:rPr>
              <w:t xml:space="preserve"> agree</w:t>
            </w:r>
            <w:r w:rsidR="00EB45C2">
              <w:rPr>
                <w:rFonts w:cs="Arial"/>
              </w:rPr>
              <w:t>s</w:t>
            </w:r>
            <w:r w:rsidR="00EB45C2" w:rsidRPr="00273653">
              <w:rPr>
                <w:rFonts w:cs="Arial"/>
              </w:rPr>
              <w:t xml:space="preserve"> that any work products developed </w:t>
            </w:r>
            <w:r w:rsidR="00EB45C2">
              <w:rPr>
                <w:rFonts w:cs="Arial"/>
              </w:rPr>
              <w:t xml:space="preserve">by Proposer </w:t>
            </w:r>
            <w:r w:rsidR="00EB45C2" w:rsidRPr="00273653">
              <w:rPr>
                <w:rFonts w:cs="Arial"/>
              </w:rPr>
              <w:t xml:space="preserve">as part of the project </w:t>
            </w:r>
            <w:r w:rsidR="00EB45C2">
              <w:rPr>
                <w:rFonts w:cs="Arial"/>
              </w:rPr>
              <w:t xml:space="preserve">described in this RFP </w:t>
            </w:r>
            <w:r w:rsidR="00EB45C2" w:rsidRPr="00273653">
              <w:rPr>
                <w:rFonts w:cs="Arial"/>
              </w:rPr>
              <w:t xml:space="preserve">(e.g. all written reports, drafts, presentation and meeting materials, etc.) shall </w:t>
            </w:r>
            <w:r w:rsidR="00EB45C2">
              <w:rPr>
                <w:rFonts w:cs="Arial"/>
              </w:rPr>
              <w:t>become</w:t>
            </w:r>
            <w:r w:rsidR="00EB45C2" w:rsidRPr="00273653">
              <w:rPr>
                <w:rFonts w:cs="Arial"/>
              </w:rPr>
              <w:t xml:space="preserve"> the property of ETF.</w:t>
            </w:r>
          </w:p>
        </w:tc>
      </w:tr>
      <w:tr w:rsidR="00EB45C2" w:rsidRPr="00273653" w14:paraId="7C5E3823" w14:textId="77777777" w:rsidTr="0046721F">
        <w:tc>
          <w:tcPr>
            <w:tcW w:w="889" w:type="dxa"/>
          </w:tcPr>
          <w:p w14:paraId="08DBBA79" w14:textId="77777777" w:rsidR="00EB45C2" w:rsidRPr="00B55974" w:rsidRDefault="00EB45C2" w:rsidP="00EB45C2">
            <w:pPr>
              <w:pStyle w:val="LRWLBodyText"/>
              <w:rPr>
                <w:rFonts w:cs="Arial"/>
                <w:b/>
              </w:rPr>
            </w:pPr>
            <w:r w:rsidRPr="00B55974">
              <w:rPr>
                <w:rFonts w:cs="Arial"/>
                <w:b/>
              </w:rPr>
              <w:t>4.3</w:t>
            </w:r>
          </w:p>
        </w:tc>
        <w:tc>
          <w:tcPr>
            <w:tcW w:w="8476" w:type="dxa"/>
          </w:tcPr>
          <w:p w14:paraId="708D6B67" w14:textId="6C184EAA" w:rsidR="00EB45C2" w:rsidRPr="00273653" w:rsidRDefault="00EB45C2" w:rsidP="00EB45C2">
            <w:pPr>
              <w:pStyle w:val="LRWLBodyText"/>
              <w:rPr>
                <w:rFonts w:cs="Arial"/>
              </w:rPr>
            </w:pPr>
            <w:r w:rsidRPr="00021622">
              <w:t xml:space="preserve">The </w:t>
            </w:r>
            <w:r w:rsidR="00FD510B">
              <w:t>Proposer</w:t>
            </w:r>
            <w:r w:rsidRPr="00021622">
              <w:t xml:space="preserve"> has no conflict of interest with regard to any other work performed by </w:t>
            </w:r>
            <w:r w:rsidR="00FD510B">
              <w:t>Proposer</w:t>
            </w:r>
            <w:r w:rsidRPr="00021622">
              <w:t xml:space="preserve"> for the State of Wisconsin.</w:t>
            </w:r>
          </w:p>
        </w:tc>
      </w:tr>
      <w:tr w:rsidR="00EB45C2" w:rsidRPr="00273653" w14:paraId="435949A3" w14:textId="77777777" w:rsidTr="0046721F">
        <w:tc>
          <w:tcPr>
            <w:tcW w:w="889" w:type="dxa"/>
          </w:tcPr>
          <w:p w14:paraId="459CA24E" w14:textId="77777777" w:rsidR="00EB45C2" w:rsidRPr="00B55974" w:rsidRDefault="00EB45C2" w:rsidP="00EB45C2">
            <w:pPr>
              <w:pStyle w:val="LRWLBodyText"/>
              <w:rPr>
                <w:rFonts w:cs="Arial"/>
                <w:b/>
              </w:rPr>
            </w:pPr>
            <w:r w:rsidRPr="00B55974">
              <w:rPr>
                <w:rFonts w:cs="Arial"/>
                <w:b/>
              </w:rPr>
              <w:t>4.4</w:t>
            </w:r>
          </w:p>
        </w:tc>
        <w:tc>
          <w:tcPr>
            <w:tcW w:w="8476" w:type="dxa"/>
          </w:tcPr>
          <w:p w14:paraId="250B7376" w14:textId="7B8EBECC" w:rsidR="00EB45C2" w:rsidRPr="00273653" w:rsidRDefault="00EB45C2" w:rsidP="00EB45C2">
            <w:pPr>
              <w:pStyle w:val="LRWLBodyText"/>
              <w:rPr>
                <w:rFonts w:cs="Arial"/>
              </w:rPr>
            </w:pPr>
            <w:r w:rsidRPr="00021622">
              <w:t xml:space="preserve">The </w:t>
            </w:r>
            <w:r w:rsidR="00FD510B">
              <w:t>Proposer</w:t>
            </w:r>
            <w:r w:rsidRPr="00021622">
              <w:t xml:space="preserve"> has not been suspended or debarred from performing federal or State government work.</w:t>
            </w:r>
          </w:p>
        </w:tc>
      </w:tr>
      <w:tr w:rsidR="00EB45C2" w:rsidRPr="00273653" w14:paraId="103AD1B7" w14:textId="77777777" w:rsidTr="0046721F">
        <w:tc>
          <w:tcPr>
            <w:tcW w:w="889" w:type="dxa"/>
          </w:tcPr>
          <w:p w14:paraId="536ACEE6" w14:textId="77777777" w:rsidR="00EB45C2" w:rsidRPr="00B55974" w:rsidRDefault="00EB45C2" w:rsidP="00EB45C2">
            <w:pPr>
              <w:pStyle w:val="LRWLBodyText"/>
              <w:rPr>
                <w:rFonts w:cs="Arial"/>
                <w:b/>
              </w:rPr>
            </w:pPr>
            <w:r w:rsidRPr="00B55974">
              <w:rPr>
                <w:rFonts w:cs="Arial"/>
                <w:b/>
              </w:rPr>
              <w:t>4.5</w:t>
            </w:r>
          </w:p>
        </w:tc>
        <w:tc>
          <w:tcPr>
            <w:tcW w:w="8476" w:type="dxa"/>
          </w:tcPr>
          <w:p w14:paraId="439041D8" w14:textId="2B7D70A0" w:rsidR="00EB45C2" w:rsidRPr="00273653" w:rsidRDefault="00EB45C2" w:rsidP="00EB45C2">
            <w:pPr>
              <w:pStyle w:val="LRWLBodyText"/>
              <w:rPr>
                <w:rFonts w:cs="Arial"/>
              </w:rPr>
            </w:pPr>
            <w:r w:rsidRPr="00021622">
              <w:t xml:space="preserve">During the past five (5) years, the </w:t>
            </w:r>
            <w:r w:rsidR="00FD510B">
              <w:t>Proposer</w:t>
            </w:r>
            <w:r w:rsidRPr="00021622">
              <w:t xml:space="preserve"> has not been involved with any litigation alleging breach of contract, fraud, breach of fiduciary duty or other willful or negligent misconduct. Or during the past five (5) years, the </w:t>
            </w:r>
            <w:r w:rsidR="00FD510B">
              <w:t>Proposer</w:t>
            </w:r>
            <w:r w:rsidRPr="00021622">
              <w:t xml:space="preserve"> has not been in bankruptcy or receivership. If a response of “DISAGREE”, provide details of any pertinent judgment, criminal conviction, investigation or litigation pending against the </w:t>
            </w:r>
            <w:r w:rsidR="00FD510B">
              <w:t>Proposer</w:t>
            </w:r>
            <w:r w:rsidRPr="00021622">
              <w:t>.</w:t>
            </w:r>
          </w:p>
        </w:tc>
      </w:tr>
      <w:tr w:rsidR="006456A2" w:rsidRPr="00273653" w14:paraId="03C7146A" w14:textId="77777777" w:rsidTr="0046721F">
        <w:tc>
          <w:tcPr>
            <w:tcW w:w="889" w:type="dxa"/>
          </w:tcPr>
          <w:p w14:paraId="3B8C0F94" w14:textId="77777777" w:rsidR="006456A2" w:rsidRPr="00B55974" w:rsidRDefault="001251A3" w:rsidP="006456A2">
            <w:pPr>
              <w:pStyle w:val="LRWLBodyText"/>
              <w:rPr>
                <w:rFonts w:cs="Arial"/>
                <w:b/>
              </w:rPr>
            </w:pPr>
            <w:r w:rsidRPr="00B55974">
              <w:rPr>
                <w:rFonts w:cs="Arial"/>
                <w:b/>
              </w:rPr>
              <w:t>4.6</w:t>
            </w:r>
          </w:p>
        </w:tc>
        <w:tc>
          <w:tcPr>
            <w:tcW w:w="8476" w:type="dxa"/>
          </w:tcPr>
          <w:p w14:paraId="073E8027" w14:textId="06567355" w:rsidR="006456A2" w:rsidRPr="00273653" w:rsidRDefault="00EB45C2" w:rsidP="00F579E4">
            <w:pPr>
              <w:pStyle w:val="LRWLBodyText"/>
              <w:rPr>
                <w:rFonts w:cs="Arial"/>
              </w:rPr>
            </w:pPr>
            <w:r>
              <w:rPr>
                <w:rFonts w:cs="Arial"/>
              </w:rPr>
              <w:t xml:space="preserve">The </w:t>
            </w:r>
            <w:r w:rsidR="00FD510B">
              <w:rPr>
                <w:rFonts w:cs="Arial"/>
              </w:rPr>
              <w:t>Proposer</w:t>
            </w:r>
            <w:r w:rsidRPr="00273653">
              <w:rPr>
                <w:rFonts w:cs="Arial"/>
              </w:rPr>
              <w:t xml:space="preserve"> </w:t>
            </w:r>
            <w:r w:rsidR="00F579E4">
              <w:rPr>
                <w:rFonts w:cs="Arial"/>
              </w:rPr>
              <w:t xml:space="preserve">shall </w:t>
            </w:r>
            <w:r>
              <w:rPr>
                <w:rFonts w:cs="Arial"/>
              </w:rPr>
              <w:t xml:space="preserve">meet all of the provisions and requirements of </w:t>
            </w:r>
            <w:r w:rsidRPr="00273653">
              <w:rPr>
                <w:rFonts w:cs="Arial"/>
              </w:rPr>
              <w:t xml:space="preserve">Section </w:t>
            </w:r>
            <w:r>
              <w:rPr>
                <w:rFonts w:cs="Arial"/>
              </w:rPr>
              <w:t>5</w:t>
            </w:r>
            <w:r w:rsidRPr="00273653">
              <w:rPr>
                <w:rFonts w:cs="Arial"/>
              </w:rPr>
              <w:t xml:space="preserve"> </w:t>
            </w:r>
            <w:r>
              <w:rPr>
                <w:rFonts w:cs="Arial"/>
              </w:rPr>
              <w:t xml:space="preserve">Program </w:t>
            </w:r>
            <w:r w:rsidR="00F579E4">
              <w:rPr>
                <w:rFonts w:cs="Arial"/>
              </w:rPr>
              <w:t>Specifications</w:t>
            </w:r>
            <w:r>
              <w:rPr>
                <w:rFonts w:cs="Arial"/>
              </w:rPr>
              <w:t>.</w:t>
            </w:r>
          </w:p>
        </w:tc>
      </w:tr>
      <w:tr w:rsidR="00D84B0A" w:rsidRPr="00273653" w14:paraId="6E1143A5" w14:textId="77777777" w:rsidTr="0046721F">
        <w:tc>
          <w:tcPr>
            <w:tcW w:w="889" w:type="dxa"/>
          </w:tcPr>
          <w:p w14:paraId="23861519" w14:textId="68D83169" w:rsidR="00D84B0A" w:rsidRPr="00B55974" w:rsidRDefault="00E44468" w:rsidP="00914E4D">
            <w:pPr>
              <w:pStyle w:val="LRWLBodyText"/>
              <w:rPr>
                <w:rFonts w:cs="Arial"/>
                <w:b/>
              </w:rPr>
            </w:pPr>
            <w:r w:rsidRPr="00B55974">
              <w:rPr>
                <w:rFonts w:cs="Arial"/>
                <w:b/>
              </w:rPr>
              <w:t>4.</w:t>
            </w:r>
            <w:r w:rsidR="00914E4D">
              <w:rPr>
                <w:rFonts w:cs="Arial"/>
                <w:b/>
              </w:rPr>
              <w:t>7</w:t>
            </w:r>
          </w:p>
        </w:tc>
        <w:tc>
          <w:tcPr>
            <w:tcW w:w="8476" w:type="dxa"/>
          </w:tcPr>
          <w:p w14:paraId="69E41547" w14:textId="4F73A756" w:rsidR="00D84B0A" w:rsidRPr="00D84B0A" w:rsidRDefault="00F579E4" w:rsidP="00D7552A">
            <w:pPr>
              <w:pStyle w:val="LRWLBodyText"/>
              <w:rPr>
                <w:rFonts w:cs="Arial"/>
              </w:rPr>
            </w:pPr>
            <w:r>
              <w:t xml:space="preserve">The </w:t>
            </w:r>
            <w:r w:rsidR="00FD510B">
              <w:t>Proposer</w:t>
            </w:r>
            <w:r>
              <w:t xml:space="preserve"> </w:t>
            </w:r>
            <w:r w:rsidR="00D7552A">
              <w:t>agrees to all t</w:t>
            </w:r>
            <w:r w:rsidR="005753BA">
              <w:t xml:space="preserve">erms and </w:t>
            </w:r>
            <w:r w:rsidR="00D7552A">
              <w:t>c</w:t>
            </w:r>
            <w:r w:rsidR="005753BA">
              <w:t xml:space="preserve">onditions </w:t>
            </w:r>
            <w:r w:rsidR="00D7552A">
              <w:t xml:space="preserve">listed </w:t>
            </w:r>
            <w:r w:rsidR="00D7552A" w:rsidRPr="00035137">
              <w:t xml:space="preserve">in </w:t>
            </w:r>
            <w:r w:rsidR="00E776F7">
              <w:t xml:space="preserve">Section 9 </w:t>
            </w:r>
            <w:r w:rsidR="00D7552A" w:rsidRPr="0039414A">
              <w:t>Contract Terms and Conditions.</w:t>
            </w:r>
          </w:p>
        </w:tc>
      </w:tr>
    </w:tbl>
    <w:p w14:paraId="684EB284" w14:textId="08E02839" w:rsidR="006456A2" w:rsidRPr="00273653" w:rsidRDefault="00273653" w:rsidP="001E656B">
      <w:pPr>
        <w:pStyle w:val="Heading1"/>
        <w:ind w:left="360" w:hanging="360"/>
      </w:pPr>
      <w:bookmarkStart w:id="17" w:name="_Toc448905184"/>
      <w:r w:rsidRPr="00273653">
        <w:t xml:space="preserve">Program </w:t>
      </w:r>
      <w:r w:rsidR="008124E1">
        <w:t>Specifications</w:t>
      </w:r>
      <w:bookmarkEnd w:id="17"/>
    </w:p>
    <w:p w14:paraId="2E2368DE" w14:textId="77777777" w:rsidR="006456A2" w:rsidRDefault="006456A2" w:rsidP="006456A2">
      <w:pPr>
        <w:pStyle w:val="LRWLBodyText"/>
        <w:rPr>
          <w:rFonts w:cs="Arial"/>
          <w:b/>
        </w:rPr>
      </w:pPr>
      <w:r w:rsidRPr="00143E55">
        <w:rPr>
          <w:rFonts w:cs="Arial"/>
          <w:b/>
        </w:rPr>
        <w:t>This section is NOT scored. (0 points)</w:t>
      </w:r>
    </w:p>
    <w:p w14:paraId="1F7ACA3E" w14:textId="77777777" w:rsidR="00EA5469" w:rsidRDefault="00EA5469" w:rsidP="006456A2">
      <w:pPr>
        <w:pStyle w:val="LRWLBodyText"/>
        <w:rPr>
          <w:rFonts w:cs="Arial"/>
          <w:b/>
        </w:rPr>
      </w:pPr>
      <w:r>
        <w:rPr>
          <w:rFonts w:cs="Arial"/>
          <w:b/>
        </w:rPr>
        <w:t xml:space="preserve">The specifications listed in this section are </w:t>
      </w:r>
      <w:r w:rsidR="00F128A2" w:rsidRPr="009B7AB5">
        <w:rPr>
          <w:rFonts w:cs="Arial"/>
          <w:b/>
          <w:u w:val="single"/>
        </w:rPr>
        <w:t>M</w:t>
      </w:r>
      <w:r w:rsidR="003932F9" w:rsidRPr="009B7AB5">
        <w:rPr>
          <w:rFonts w:cs="Arial"/>
          <w:b/>
          <w:u w:val="single"/>
        </w:rPr>
        <w:t>andatory</w:t>
      </w:r>
      <w:r w:rsidR="003932F9">
        <w:rPr>
          <w:rFonts w:cs="Arial"/>
          <w:b/>
        </w:rPr>
        <w:t xml:space="preserve"> </w:t>
      </w:r>
      <w:r>
        <w:rPr>
          <w:rFonts w:cs="Arial"/>
          <w:b/>
        </w:rPr>
        <w:t>requirements of the Contract.</w:t>
      </w:r>
    </w:p>
    <w:p w14:paraId="48D6DF18" w14:textId="6615D1DE" w:rsidR="00353F5B" w:rsidRPr="00DC7DC5" w:rsidRDefault="00353F5B" w:rsidP="00353F5B">
      <w:pPr>
        <w:pStyle w:val="LRWLBodyText"/>
        <w:rPr>
          <w:rFonts w:cs="Arial"/>
          <w:b/>
        </w:rPr>
      </w:pPr>
      <w:r w:rsidRPr="00273653">
        <w:rPr>
          <w:rFonts w:cs="Arial"/>
        </w:rPr>
        <w:t xml:space="preserve">The following </w:t>
      </w:r>
      <w:r w:rsidR="00027809">
        <w:rPr>
          <w:rFonts w:cs="Arial"/>
        </w:rPr>
        <w:t>P</w:t>
      </w:r>
      <w:r>
        <w:rPr>
          <w:rFonts w:cs="Arial"/>
        </w:rPr>
        <w:t xml:space="preserve">rogram </w:t>
      </w:r>
      <w:r w:rsidR="00027809">
        <w:rPr>
          <w:rFonts w:cs="Arial"/>
        </w:rPr>
        <w:t>S</w:t>
      </w:r>
      <w:r>
        <w:rPr>
          <w:rFonts w:cs="Arial"/>
        </w:rPr>
        <w:t xml:space="preserve">pecifications </w:t>
      </w:r>
      <w:r w:rsidRPr="00273653">
        <w:rPr>
          <w:rFonts w:cs="Arial"/>
        </w:rPr>
        <w:t xml:space="preserve">are </w:t>
      </w:r>
      <w:r w:rsidR="00027809">
        <w:rPr>
          <w:rFonts w:cs="Arial"/>
        </w:rPr>
        <w:t>M</w:t>
      </w:r>
      <w:r w:rsidRPr="00273653">
        <w:rPr>
          <w:rFonts w:cs="Arial"/>
        </w:rPr>
        <w:t xml:space="preserve">andatory </w:t>
      </w:r>
      <w:r>
        <w:rPr>
          <w:rFonts w:cs="Arial"/>
        </w:rPr>
        <w:t>for</w:t>
      </w:r>
      <w:r w:rsidRPr="00273653">
        <w:rPr>
          <w:rFonts w:cs="Arial"/>
        </w:rPr>
        <w:t xml:space="preserve"> any Proposer who submits a </w:t>
      </w:r>
      <w:r>
        <w:rPr>
          <w:rFonts w:cs="Arial"/>
        </w:rPr>
        <w:t>Proposal.</w:t>
      </w:r>
      <w:r w:rsidRPr="00273653">
        <w:rPr>
          <w:rFonts w:cs="Arial"/>
        </w:rPr>
        <w:t xml:space="preserve"> Failure to comply with one or more of the </w:t>
      </w:r>
      <w:r w:rsidR="00027809">
        <w:rPr>
          <w:rFonts w:cs="Arial"/>
        </w:rPr>
        <w:t>P</w:t>
      </w:r>
      <w:r w:rsidR="004D519C">
        <w:rPr>
          <w:rFonts w:cs="Arial"/>
        </w:rPr>
        <w:t xml:space="preserve">rogram </w:t>
      </w:r>
      <w:r w:rsidR="00027809">
        <w:rPr>
          <w:rFonts w:cs="Arial"/>
        </w:rPr>
        <w:t>S</w:t>
      </w:r>
      <w:r w:rsidR="004D519C">
        <w:rPr>
          <w:rFonts w:cs="Arial"/>
        </w:rPr>
        <w:t xml:space="preserve">pecifications </w:t>
      </w:r>
      <w:r w:rsidRPr="00273653">
        <w:rPr>
          <w:rFonts w:cs="Arial"/>
        </w:rPr>
        <w:t xml:space="preserve">may disqualify </w:t>
      </w:r>
      <w:r w:rsidR="00EE0289">
        <w:rPr>
          <w:rFonts w:cs="Arial"/>
        </w:rPr>
        <w:t>a Proposer</w:t>
      </w:r>
      <w:r w:rsidRPr="00273653">
        <w:rPr>
          <w:rFonts w:cs="Arial"/>
        </w:rPr>
        <w:t xml:space="preserve">. </w:t>
      </w:r>
      <w:r w:rsidR="00C914B2" w:rsidRPr="00273653">
        <w:rPr>
          <w:rFonts w:cs="Arial"/>
          <w:b/>
        </w:rPr>
        <w:t xml:space="preserve">If </w:t>
      </w:r>
      <w:r w:rsidR="00C914B2">
        <w:rPr>
          <w:rFonts w:cs="Arial"/>
          <w:b/>
        </w:rPr>
        <w:t>the Proposer</w:t>
      </w:r>
      <w:r w:rsidR="00C914B2" w:rsidRPr="00273653">
        <w:rPr>
          <w:rFonts w:cs="Arial"/>
          <w:b/>
        </w:rPr>
        <w:t xml:space="preserve"> cannot agree to each item listed, </w:t>
      </w:r>
      <w:r w:rsidR="00C914B2">
        <w:rPr>
          <w:rFonts w:cs="Arial"/>
          <w:b/>
        </w:rPr>
        <w:t>the Proposer</w:t>
      </w:r>
      <w:r w:rsidR="00C914B2" w:rsidRPr="00273653">
        <w:rPr>
          <w:rFonts w:cs="Arial"/>
          <w:b/>
        </w:rPr>
        <w:t xml:space="preserve"> must </w:t>
      </w:r>
      <w:r w:rsidR="00C914B2">
        <w:rPr>
          <w:rFonts w:cs="Arial"/>
          <w:b/>
        </w:rPr>
        <w:t xml:space="preserve">so </w:t>
      </w:r>
      <w:r w:rsidR="00C914B2" w:rsidRPr="00273653">
        <w:rPr>
          <w:rFonts w:cs="Arial"/>
          <w:b/>
        </w:rPr>
        <w:t xml:space="preserve">specify </w:t>
      </w:r>
      <w:r w:rsidR="00C914B2">
        <w:rPr>
          <w:rFonts w:cs="Arial"/>
          <w:b/>
        </w:rPr>
        <w:t>and provide</w:t>
      </w:r>
      <w:r w:rsidR="00C914B2" w:rsidRPr="00273653">
        <w:rPr>
          <w:rFonts w:cs="Arial"/>
          <w:b/>
        </w:rPr>
        <w:t xml:space="preserve"> the reason</w:t>
      </w:r>
      <w:r w:rsidR="00C914B2">
        <w:rPr>
          <w:rFonts w:cs="Arial"/>
          <w:b/>
        </w:rPr>
        <w:t xml:space="preserve"> for the disagreement</w:t>
      </w:r>
      <w:r w:rsidR="00C914B2" w:rsidRPr="00273653">
        <w:rPr>
          <w:rFonts w:cs="Arial"/>
          <w:b/>
        </w:rPr>
        <w:t xml:space="preserve"> in </w:t>
      </w:r>
      <w:r w:rsidR="00C914B2" w:rsidRPr="00DC7DC5">
        <w:rPr>
          <w:rFonts w:cs="Arial"/>
          <w:b/>
        </w:rPr>
        <w:t xml:space="preserve">Tab </w:t>
      </w:r>
      <w:r w:rsidR="00C914B2">
        <w:rPr>
          <w:rFonts w:cs="Arial"/>
          <w:b/>
        </w:rPr>
        <w:t>3</w:t>
      </w:r>
      <w:r w:rsidRPr="00DC7DC5">
        <w:rPr>
          <w:rFonts w:cs="Arial"/>
          <w:b/>
        </w:rPr>
        <w:t xml:space="preserve"> – Assumptions and Exceptions – of </w:t>
      </w:r>
      <w:r>
        <w:rPr>
          <w:rFonts w:cs="Arial"/>
          <w:b/>
        </w:rPr>
        <w:t>the Proposer’s</w:t>
      </w:r>
      <w:r w:rsidRPr="00DC7DC5">
        <w:rPr>
          <w:rFonts w:cs="Arial"/>
          <w:b/>
        </w:rPr>
        <w:t xml:space="preserve"> response.</w:t>
      </w:r>
    </w:p>
    <w:p w14:paraId="67C34A77" w14:textId="2B135AD1" w:rsidR="00F57731" w:rsidRDefault="00F57731" w:rsidP="00644C74">
      <w:pPr>
        <w:pStyle w:val="Heading2"/>
        <w:ind w:hanging="1926"/>
      </w:pPr>
      <w:bookmarkStart w:id="18" w:name="_Toc398562527"/>
      <w:r w:rsidRPr="00F57731">
        <w:t>Implementation</w:t>
      </w:r>
    </w:p>
    <w:tbl>
      <w:tblPr>
        <w:tblStyle w:val="TableGrid"/>
        <w:tblW w:w="8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
        <w:gridCol w:w="8010"/>
      </w:tblGrid>
      <w:tr w:rsidR="005F6B1D" w14:paraId="12BCFB6E" w14:textId="77777777" w:rsidTr="001A49D5">
        <w:trPr>
          <w:trHeight w:val="1498"/>
        </w:trPr>
        <w:tc>
          <w:tcPr>
            <w:tcW w:w="533" w:type="dxa"/>
          </w:tcPr>
          <w:p w14:paraId="37CFD267" w14:textId="77777777" w:rsidR="00240737" w:rsidRDefault="00240737" w:rsidP="00F01E1A">
            <w:pPr>
              <w:pStyle w:val="ListParagraph"/>
              <w:numPr>
                <w:ilvl w:val="0"/>
                <w:numId w:val="20"/>
              </w:numPr>
            </w:pPr>
          </w:p>
        </w:tc>
        <w:tc>
          <w:tcPr>
            <w:tcW w:w="8010" w:type="dxa"/>
          </w:tcPr>
          <w:p w14:paraId="3AC7816D" w14:textId="251C5B0D" w:rsidR="00240737" w:rsidRPr="00AF3B93" w:rsidRDefault="00EB45C2" w:rsidP="005F6B1D">
            <w:pPr>
              <w:pStyle w:val="LRWLBodyText"/>
            </w:pPr>
            <w:r w:rsidRPr="00AF3B93">
              <w:t xml:space="preserve">No later than ten (10) </w:t>
            </w:r>
            <w:r w:rsidR="00202045" w:rsidRPr="00AF3B93">
              <w:t xml:space="preserve">Business </w:t>
            </w:r>
            <w:r w:rsidRPr="00AF3B93">
              <w:t xml:space="preserve">Days after the Contract start date, </w:t>
            </w:r>
            <w:r w:rsidR="00A000BF" w:rsidRPr="00AF3B93">
              <w:t xml:space="preserve">the </w:t>
            </w:r>
            <w:r w:rsidR="00FD510B" w:rsidRPr="00AF3B93">
              <w:t xml:space="preserve">Contractor </w:t>
            </w:r>
            <w:r w:rsidRPr="00AF3B93">
              <w:t xml:space="preserve">will provide an updated Implementation Plan </w:t>
            </w:r>
            <w:r w:rsidR="00BB015C" w:rsidRPr="00AF3B93">
              <w:t xml:space="preserve">and timeline </w:t>
            </w:r>
            <w:r w:rsidRPr="00AF3B93">
              <w:t>to the ETF Program Manager</w:t>
            </w:r>
            <w:r w:rsidR="007A1457" w:rsidRPr="00AF3B93">
              <w:t>.</w:t>
            </w:r>
            <w:r w:rsidRPr="00AF3B93">
              <w:t xml:space="preserve"> </w:t>
            </w:r>
            <w:r w:rsidR="00FD510B" w:rsidRPr="00AF3B93">
              <w:t>Contractor’s</w:t>
            </w:r>
            <w:r w:rsidRPr="00AF3B93">
              <w:t xml:space="preserve"> Implementation Plan must be accompanied by an updated Attachment </w:t>
            </w:r>
            <w:r w:rsidR="00642269" w:rsidRPr="00AF3B93">
              <w:t>E</w:t>
            </w:r>
            <w:r w:rsidR="00C120D3" w:rsidRPr="00AF3B93">
              <w:t xml:space="preserve"> </w:t>
            </w:r>
            <w:r w:rsidRPr="00AF3B93">
              <w:t>Subcontractor</w:t>
            </w:r>
            <w:r w:rsidR="00C120D3" w:rsidRPr="00AF3B93">
              <w:t xml:space="preserve"> Information</w:t>
            </w:r>
            <w:r w:rsidRPr="00AF3B93">
              <w:t xml:space="preserve"> that </w:t>
            </w:r>
            <w:r w:rsidR="001E656B" w:rsidRPr="00AF3B93">
              <w:t>identifies</w:t>
            </w:r>
            <w:r w:rsidRPr="00AF3B93">
              <w:t xml:space="preserve"> all </w:t>
            </w:r>
            <w:r w:rsidR="00BB015C" w:rsidRPr="00AF3B93">
              <w:t xml:space="preserve">of </w:t>
            </w:r>
            <w:r w:rsidRPr="00AF3B93">
              <w:t xml:space="preserve">the </w:t>
            </w:r>
            <w:r w:rsidR="00FD510B" w:rsidRPr="00AF3B93">
              <w:t xml:space="preserve">Contractor’s </w:t>
            </w:r>
            <w:r w:rsidRPr="00AF3B93">
              <w:t xml:space="preserve">proposed </w:t>
            </w:r>
            <w:r w:rsidR="00016BC3" w:rsidRPr="00AF3B93">
              <w:t>S</w:t>
            </w:r>
            <w:r w:rsidRPr="00AF3B93">
              <w:t>ubcontractors that will be used in fulfillment of the Contract, including a detailed description of their participation</w:t>
            </w:r>
            <w:r w:rsidR="00BB015C" w:rsidRPr="00AF3B93">
              <w:t>, for ETF approval</w:t>
            </w:r>
            <w:r w:rsidRPr="00AF3B93">
              <w:t>.</w:t>
            </w:r>
          </w:p>
        </w:tc>
      </w:tr>
      <w:tr w:rsidR="005F6B1D" w14:paraId="6077BD1B" w14:textId="77777777" w:rsidTr="001A49D5">
        <w:trPr>
          <w:trHeight w:val="1498"/>
        </w:trPr>
        <w:tc>
          <w:tcPr>
            <w:tcW w:w="533" w:type="dxa"/>
          </w:tcPr>
          <w:p w14:paraId="4B5B94D7" w14:textId="3ECE7136" w:rsidR="00F57731" w:rsidRDefault="00F57731" w:rsidP="00F01E1A">
            <w:pPr>
              <w:pStyle w:val="ListParagraph"/>
              <w:numPr>
                <w:ilvl w:val="0"/>
                <w:numId w:val="20"/>
              </w:numPr>
            </w:pPr>
          </w:p>
        </w:tc>
        <w:tc>
          <w:tcPr>
            <w:tcW w:w="8010" w:type="dxa"/>
          </w:tcPr>
          <w:p w14:paraId="1369E4B5" w14:textId="419B704D" w:rsidR="00F57731" w:rsidRPr="00AF3B93" w:rsidRDefault="007D2C86" w:rsidP="005F6B1D">
            <w:pPr>
              <w:pStyle w:val="LRWLBodyText"/>
            </w:pPr>
            <w:r w:rsidRPr="00AF3B93">
              <w:t xml:space="preserve">ETF requires the </w:t>
            </w:r>
            <w:r w:rsidR="00FD510B" w:rsidRPr="00AF3B93">
              <w:t xml:space="preserve">Contractor </w:t>
            </w:r>
            <w:r w:rsidRPr="00AF3B93">
              <w:t xml:space="preserve">to have an Implementation Manager and Implementation Team available to manage the project from the </w:t>
            </w:r>
            <w:r w:rsidR="009B7AB5" w:rsidRPr="00AF3B93">
              <w:t>C</w:t>
            </w:r>
            <w:r w:rsidRPr="00AF3B93">
              <w:t>ontract start date until</w:t>
            </w:r>
            <w:r w:rsidR="00027809" w:rsidRPr="00AF3B93">
              <w:t xml:space="preserve"> all</w:t>
            </w:r>
            <w:r w:rsidRPr="00AF3B93">
              <w:t xml:space="preserve"> implementation </w:t>
            </w:r>
            <w:r w:rsidR="00027809" w:rsidRPr="00AF3B93">
              <w:t>tasks are</w:t>
            </w:r>
            <w:r w:rsidRPr="00AF3B93">
              <w:t xml:space="preserve"> complete</w:t>
            </w:r>
            <w:r w:rsidR="00027809" w:rsidRPr="00AF3B93">
              <w:t>, as determined by ETF</w:t>
            </w:r>
            <w:r w:rsidRPr="00AF3B93">
              <w:t xml:space="preserve">, and all remaining responsibilities are transferred over to the Lead Account Manager </w:t>
            </w:r>
            <w:r w:rsidR="00027809" w:rsidRPr="00AF3B93">
              <w:t>and</w:t>
            </w:r>
            <w:r w:rsidRPr="00AF3B93">
              <w:t xml:space="preserve"> Account Management Team. The Implementation Manager must be available Monday through Friday from 8:00 a.m. to 4:30 p.m. CST</w:t>
            </w:r>
            <w:r w:rsidR="00AD34CD">
              <w:t>/CDT</w:t>
            </w:r>
            <w:r w:rsidRPr="00AF3B93">
              <w:t xml:space="preserve"> to assist ETF staff. </w:t>
            </w:r>
            <w:r w:rsidR="00FD510B" w:rsidRPr="00AF3B93">
              <w:lastRenderedPageBreak/>
              <w:t>Contractor</w:t>
            </w:r>
            <w:r w:rsidR="00BB015C" w:rsidRPr="00AF3B93">
              <w:t xml:space="preserve"> will provide ETF with an emergency contact number in case issues arise that need to be resolved outside of the aforementioned, normal business hours. </w:t>
            </w:r>
            <w:r w:rsidRPr="00AF3B93">
              <w:t xml:space="preserve">The </w:t>
            </w:r>
            <w:r w:rsidR="00FD510B" w:rsidRPr="00AF3B93">
              <w:t xml:space="preserve">Contractor </w:t>
            </w:r>
            <w:r w:rsidRPr="00AF3B93">
              <w:t>will continuously assess the implementation process to ensure a smooth and successful implementation. The Lead Account Manage</w:t>
            </w:r>
            <w:r w:rsidR="007C4E5A" w:rsidRPr="00AF3B93">
              <w:t>r</w:t>
            </w:r>
            <w:r w:rsidRPr="00AF3B93">
              <w:t xml:space="preserve"> </w:t>
            </w:r>
            <w:r w:rsidR="00160D5D" w:rsidRPr="00AF3B93">
              <w:t xml:space="preserve">who will be responsible for </w:t>
            </w:r>
            <w:r w:rsidR="000C20A9" w:rsidRPr="00AF3B93">
              <w:t xml:space="preserve">the </w:t>
            </w:r>
            <w:r w:rsidR="00160D5D" w:rsidRPr="00AF3B93">
              <w:t xml:space="preserve">Contract </w:t>
            </w:r>
            <w:r w:rsidRPr="00AF3B93">
              <w:t>must be an active member of the Implementation Team.</w:t>
            </w:r>
          </w:p>
        </w:tc>
      </w:tr>
      <w:tr w:rsidR="005F6B1D" w14:paraId="01B50250" w14:textId="77777777" w:rsidTr="001A49D5">
        <w:trPr>
          <w:trHeight w:val="1498"/>
        </w:trPr>
        <w:tc>
          <w:tcPr>
            <w:tcW w:w="533" w:type="dxa"/>
          </w:tcPr>
          <w:p w14:paraId="4910EDB1" w14:textId="77777777" w:rsidR="0059128F" w:rsidRDefault="0059128F" w:rsidP="00F01E1A">
            <w:pPr>
              <w:pStyle w:val="ListParagraph"/>
              <w:numPr>
                <w:ilvl w:val="0"/>
                <w:numId w:val="20"/>
              </w:numPr>
            </w:pPr>
          </w:p>
        </w:tc>
        <w:tc>
          <w:tcPr>
            <w:tcW w:w="8010" w:type="dxa"/>
          </w:tcPr>
          <w:p w14:paraId="297B7E9C" w14:textId="686206B8" w:rsidR="0059128F" w:rsidRPr="00AF3B93" w:rsidRDefault="00410419" w:rsidP="003D0A70">
            <w:pPr>
              <w:pStyle w:val="LRWLBodyText"/>
            </w:pPr>
            <w:r w:rsidRPr="00AF3B93">
              <w:t>T</w:t>
            </w:r>
            <w:r w:rsidR="0059128F" w:rsidRPr="00AF3B93">
              <w:t xml:space="preserve">he </w:t>
            </w:r>
            <w:r w:rsidR="00FD510B" w:rsidRPr="00AF3B93">
              <w:t xml:space="preserve">Contractor </w:t>
            </w:r>
            <w:r w:rsidR="0059128F" w:rsidRPr="00AF3B93">
              <w:t xml:space="preserve">must conduct status meetings with ETF concerning project development, project implementation and </w:t>
            </w:r>
            <w:r w:rsidR="00FD510B" w:rsidRPr="00AF3B93">
              <w:t xml:space="preserve">Contractor </w:t>
            </w:r>
            <w:r w:rsidR="0059128F" w:rsidRPr="00AF3B93">
              <w:t xml:space="preserve">performance at least twice a week </w:t>
            </w:r>
            <w:r w:rsidR="00BB015C" w:rsidRPr="00AF3B93">
              <w:t xml:space="preserve">during </w:t>
            </w:r>
            <w:r w:rsidR="007A1457" w:rsidRPr="00AF3B93">
              <w:t>implementation</w:t>
            </w:r>
            <w:r w:rsidR="00027809" w:rsidRPr="00AF3B93">
              <w:t xml:space="preserve"> </w:t>
            </w:r>
            <w:r w:rsidR="00BB015C" w:rsidRPr="00AF3B93">
              <w:t xml:space="preserve">and for the first </w:t>
            </w:r>
            <w:r w:rsidR="0038174C">
              <w:t>two to three (</w:t>
            </w:r>
            <w:r w:rsidR="00BB015C" w:rsidRPr="00AF3B93">
              <w:t>2-3</w:t>
            </w:r>
            <w:r w:rsidR="0038174C">
              <w:t>)</w:t>
            </w:r>
            <w:r w:rsidR="00BB015C" w:rsidRPr="00AF3B93">
              <w:t xml:space="preserve"> months following the Program Launch</w:t>
            </w:r>
            <w:r w:rsidR="00027809" w:rsidRPr="00AF3B93">
              <w:t xml:space="preserve">, </w:t>
            </w:r>
            <w:r w:rsidR="0059128F" w:rsidRPr="00AF3B93">
              <w:t>unless otherwise approved by ETF in writing.</w:t>
            </w:r>
            <w:r w:rsidRPr="00AF3B93">
              <w:t xml:space="preserve"> Meetings may be in person or by teleconference/webinar, as determined by ETF.</w:t>
            </w:r>
          </w:p>
        </w:tc>
      </w:tr>
      <w:tr w:rsidR="005F6B1D" w14:paraId="0FD6130A" w14:textId="77777777" w:rsidTr="003D0A70">
        <w:trPr>
          <w:trHeight w:val="531"/>
        </w:trPr>
        <w:tc>
          <w:tcPr>
            <w:tcW w:w="533" w:type="dxa"/>
          </w:tcPr>
          <w:p w14:paraId="6C9EAE57" w14:textId="77777777" w:rsidR="00F57731" w:rsidRDefault="00F57731" w:rsidP="00F01E1A">
            <w:pPr>
              <w:pStyle w:val="ListParagraph"/>
              <w:numPr>
                <w:ilvl w:val="0"/>
                <w:numId w:val="20"/>
              </w:numPr>
            </w:pPr>
          </w:p>
        </w:tc>
        <w:tc>
          <w:tcPr>
            <w:tcW w:w="8010" w:type="dxa"/>
          </w:tcPr>
          <w:p w14:paraId="5929BC56" w14:textId="5AA931DB" w:rsidR="007D2C86" w:rsidRDefault="007D2C86" w:rsidP="007D2C86">
            <w:pPr>
              <w:pStyle w:val="LRWLBodyText"/>
            </w:pPr>
            <w:r>
              <w:t xml:space="preserve">The Implementation Manager and/or Implementation Team will be required to perform and/or manage the following </w:t>
            </w:r>
            <w:r w:rsidR="00355EDA">
              <w:t xml:space="preserve">activities prior to the Program Launch date of </w:t>
            </w:r>
            <w:r w:rsidR="00F82E9F">
              <w:t>December 30, 2016</w:t>
            </w:r>
            <w:r>
              <w:t>, including but not limited to:</w:t>
            </w:r>
          </w:p>
          <w:p w14:paraId="1F690366" w14:textId="640D133B" w:rsidR="00110B79" w:rsidRPr="007C320F" w:rsidRDefault="00110B79" w:rsidP="00F01E1A">
            <w:pPr>
              <w:pStyle w:val="LRWLBodyText"/>
              <w:numPr>
                <w:ilvl w:val="0"/>
                <w:numId w:val="27"/>
              </w:numPr>
              <w:ind w:left="612"/>
            </w:pPr>
            <w:r>
              <w:t xml:space="preserve">Within ten (10) </w:t>
            </w:r>
            <w:r w:rsidR="005F6B1D">
              <w:t xml:space="preserve">Business </w:t>
            </w:r>
            <w:r>
              <w:t xml:space="preserve">Days of the Contract start date, the </w:t>
            </w:r>
            <w:r w:rsidR="00FD510B">
              <w:t>Contractor</w:t>
            </w:r>
            <w:r>
              <w:t xml:space="preserve"> has submitted the </w:t>
            </w:r>
            <w:r w:rsidRPr="006518F1">
              <w:rPr>
                <w:rFonts w:cs="Arial"/>
                <w:color w:val="000000"/>
              </w:rPr>
              <w:t>Annual Promotion and Communication Plan</w:t>
            </w:r>
            <w:r w:rsidR="000E6883">
              <w:rPr>
                <w:rFonts w:cs="Arial"/>
                <w:color w:val="000000"/>
              </w:rPr>
              <w:t xml:space="preserve"> to the ETF Program Manager for review and approval</w:t>
            </w:r>
            <w:r>
              <w:rPr>
                <w:rFonts w:cs="Arial"/>
              </w:rPr>
              <w:t>;</w:t>
            </w:r>
          </w:p>
          <w:p w14:paraId="27495635" w14:textId="7D1449F4" w:rsidR="004D519C" w:rsidRPr="006B1AB5" w:rsidRDefault="004D519C" w:rsidP="00F01E1A">
            <w:pPr>
              <w:pStyle w:val="LRWLBodyText"/>
              <w:numPr>
                <w:ilvl w:val="0"/>
                <w:numId w:val="27"/>
              </w:numPr>
              <w:ind w:left="612"/>
            </w:pPr>
            <w:r>
              <w:t xml:space="preserve">Within thirty (30) Days of the Contract start date, the </w:t>
            </w:r>
            <w:r w:rsidR="00FD510B">
              <w:t xml:space="preserve">Contractor </w:t>
            </w:r>
            <w:r>
              <w:t xml:space="preserve">has submitted the complaints and grievance </w:t>
            </w:r>
            <w:r w:rsidRPr="00965163">
              <w:rPr>
                <w:rFonts w:cs="Arial"/>
              </w:rPr>
              <w:t>process and procedures</w:t>
            </w:r>
            <w:r w:rsidR="001B5285">
              <w:rPr>
                <w:rFonts w:cs="Arial"/>
              </w:rPr>
              <w:t xml:space="preserve"> to the ETF Program Manager for review and approval</w:t>
            </w:r>
            <w:r>
              <w:rPr>
                <w:rFonts w:cs="Arial"/>
              </w:rPr>
              <w:t>;</w:t>
            </w:r>
          </w:p>
          <w:p w14:paraId="437CFE61" w14:textId="3F92A92B" w:rsidR="004D519C" w:rsidRPr="006B1AB5" w:rsidRDefault="004D519C" w:rsidP="00F01E1A">
            <w:pPr>
              <w:pStyle w:val="LRWLBodyText"/>
              <w:numPr>
                <w:ilvl w:val="0"/>
                <w:numId w:val="27"/>
              </w:numPr>
              <w:ind w:left="612"/>
            </w:pPr>
            <w:r>
              <w:t xml:space="preserve">Within thirty (30) Days of the Contract start date, the </w:t>
            </w:r>
            <w:r w:rsidR="00FD510B">
              <w:t>Contractor</w:t>
            </w:r>
            <w:r>
              <w:t xml:space="preserve"> has submitted the biometric screening protocols</w:t>
            </w:r>
            <w:r w:rsidR="001B5285">
              <w:t xml:space="preserve"> to the ETF Program Manager for review and approval</w:t>
            </w:r>
            <w:r>
              <w:rPr>
                <w:rFonts w:cs="Arial"/>
              </w:rPr>
              <w:t>;</w:t>
            </w:r>
          </w:p>
          <w:p w14:paraId="08BF227A" w14:textId="53823753" w:rsidR="004D519C" w:rsidRPr="008A69C2" w:rsidRDefault="00393CE8" w:rsidP="00F01E1A">
            <w:pPr>
              <w:pStyle w:val="LRWLBodyText"/>
              <w:numPr>
                <w:ilvl w:val="0"/>
                <w:numId w:val="27"/>
              </w:numPr>
              <w:ind w:left="612"/>
            </w:pPr>
            <w:r>
              <w:t>The Contractor must provide the ETF Program Manager with proposed website design and content in a test environment no later than September 16, 2016 for the It’s Your Choice open enrollment period, listing basic information about the 2017 program, e.g. the transition to the Contractor and contact information for customer service;</w:t>
            </w:r>
          </w:p>
          <w:p w14:paraId="72F24283" w14:textId="4D3588BC" w:rsidR="00996299" w:rsidRPr="00C639C6" w:rsidRDefault="00996299" w:rsidP="00F01E1A">
            <w:pPr>
              <w:pStyle w:val="LRWLBodyText"/>
              <w:numPr>
                <w:ilvl w:val="0"/>
                <w:numId w:val="27"/>
              </w:numPr>
              <w:ind w:left="612"/>
            </w:pPr>
            <w:r>
              <w:rPr>
                <w:rFonts w:cs="Arial"/>
              </w:rPr>
              <w:t xml:space="preserve">The </w:t>
            </w:r>
            <w:r w:rsidR="00FD510B">
              <w:rPr>
                <w:rFonts w:cs="Arial"/>
              </w:rPr>
              <w:t>Contractor</w:t>
            </w:r>
            <w:r>
              <w:rPr>
                <w:rFonts w:cs="Arial"/>
              </w:rPr>
              <w:t xml:space="preserve">’s customer service staff for the program is established, trained and operational for the It’s Your Choice open enrollment period no later than September 30, 2016; </w:t>
            </w:r>
          </w:p>
          <w:p w14:paraId="5FC97D9A" w14:textId="099CBEEA" w:rsidR="00C639C6" w:rsidRPr="00C639C6" w:rsidRDefault="007B0B4F" w:rsidP="00F01E1A">
            <w:pPr>
              <w:pStyle w:val="ListParagraph"/>
              <w:numPr>
                <w:ilvl w:val="0"/>
                <w:numId w:val="27"/>
              </w:numPr>
              <w:spacing w:after="120"/>
              <w:ind w:left="612"/>
              <w:rPr>
                <w:rFonts w:eastAsia="Times New Roman"/>
                <w:caps w:val="0"/>
                <w:noProof w:val="0"/>
              </w:rPr>
            </w:pPr>
            <w:r>
              <w:rPr>
                <w:rFonts w:eastAsia="Times New Roman"/>
                <w:caps w:val="0"/>
                <w:noProof w:val="0"/>
              </w:rPr>
              <w:t xml:space="preserve"> </w:t>
            </w:r>
            <w:r w:rsidR="00C639C6" w:rsidRPr="00C639C6">
              <w:rPr>
                <w:rFonts w:eastAsia="Times New Roman"/>
                <w:caps w:val="0"/>
                <w:noProof w:val="0"/>
              </w:rPr>
              <w:t xml:space="preserve">The homepage of the website </w:t>
            </w:r>
            <w:r w:rsidR="00C639C6">
              <w:rPr>
                <w:rFonts w:eastAsia="Times New Roman"/>
                <w:caps w:val="0"/>
                <w:noProof w:val="0"/>
              </w:rPr>
              <w:t xml:space="preserve">is completed, </w:t>
            </w:r>
            <w:r>
              <w:rPr>
                <w:rFonts w:eastAsia="Times New Roman"/>
                <w:caps w:val="0"/>
                <w:noProof w:val="0"/>
              </w:rPr>
              <w:t xml:space="preserve">and approved </w:t>
            </w:r>
            <w:r w:rsidR="00C639C6">
              <w:rPr>
                <w:rFonts w:eastAsia="Times New Roman"/>
                <w:caps w:val="0"/>
                <w:noProof w:val="0"/>
              </w:rPr>
              <w:t>by ETF, and launched</w:t>
            </w:r>
            <w:r w:rsidR="00BF315E">
              <w:rPr>
                <w:rFonts w:eastAsia="Times New Roman"/>
                <w:caps w:val="0"/>
                <w:noProof w:val="0"/>
              </w:rPr>
              <w:t xml:space="preserve"> for access by all </w:t>
            </w:r>
            <w:r w:rsidR="00E46012">
              <w:rPr>
                <w:rFonts w:eastAsia="Times New Roman"/>
                <w:caps w:val="0"/>
                <w:noProof w:val="0"/>
              </w:rPr>
              <w:t xml:space="preserve">Members </w:t>
            </w:r>
            <w:r w:rsidR="00C639C6" w:rsidRPr="00C639C6">
              <w:rPr>
                <w:rFonts w:eastAsia="Times New Roman"/>
                <w:caps w:val="0"/>
                <w:noProof w:val="0"/>
              </w:rPr>
              <w:t xml:space="preserve">no later than September </w:t>
            </w:r>
            <w:r w:rsidR="00C639C6">
              <w:rPr>
                <w:rFonts w:eastAsia="Times New Roman"/>
                <w:caps w:val="0"/>
                <w:noProof w:val="0"/>
              </w:rPr>
              <w:t>30</w:t>
            </w:r>
            <w:r w:rsidR="00C639C6" w:rsidRPr="00C639C6">
              <w:rPr>
                <w:rFonts w:eastAsia="Times New Roman"/>
                <w:caps w:val="0"/>
                <w:noProof w:val="0"/>
              </w:rPr>
              <w:t>, 2016 for the It’s Your Choice open enrollment period;</w:t>
            </w:r>
          </w:p>
          <w:p w14:paraId="2013A2E3" w14:textId="2EEAC841" w:rsidR="00A1130B" w:rsidRDefault="00AB7627" w:rsidP="00F01E1A">
            <w:pPr>
              <w:pStyle w:val="LRWLBodyText"/>
              <w:numPr>
                <w:ilvl w:val="0"/>
                <w:numId w:val="27"/>
              </w:numPr>
              <w:ind w:left="612"/>
            </w:pPr>
            <w:r>
              <w:t xml:space="preserve">The </w:t>
            </w:r>
            <w:r w:rsidR="00FD510B">
              <w:t>Contractor</w:t>
            </w:r>
            <w:r w:rsidR="00A1130B">
              <w:t xml:space="preserve"> </w:t>
            </w:r>
            <w:r>
              <w:t xml:space="preserve">must </w:t>
            </w:r>
            <w:r w:rsidR="00A1130B">
              <w:t>attend</w:t>
            </w:r>
            <w:r w:rsidR="002D3909">
              <w:t xml:space="preserve"> </w:t>
            </w:r>
            <w:r w:rsidR="00A1130B">
              <w:t>the It’s Your Choice Employer Kick Off meeting</w:t>
            </w:r>
            <w:r w:rsidR="004D519C">
              <w:t xml:space="preserve"> </w:t>
            </w:r>
            <w:r w:rsidR="00027809">
              <w:t>on</w:t>
            </w:r>
            <w:r w:rsidR="004D519C">
              <w:t xml:space="preserve"> Monday, October 6</w:t>
            </w:r>
            <w:r w:rsidR="009D4FF8">
              <w:t>;</w:t>
            </w:r>
          </w:p>
          <w:p w14:paraId="44FB2768" w14:textId="307FB988" w:rsidR="000E640C" w:rsidRPr="00EB66F3" w:rsidRDefault="000E640C" w:rsidP="00F01E1A">
            <w:pPr>
              <w:pStyle w:val="LRWLBodyText"/>
              <w:numPr>
                <w:ilvl w:val="0"/>
                <w:numId w:val="27"/>
              </w:numPr>
              <w:ind w:left="612"/>
            </w:pPr>
            <w:r>
              <w:rPr>
                <w:rFonts w:cs="Arial"/>
              </w:rPr>
              <w:t xml:space="preserve">Two </w:t>
            </w:r>
            <w:r w:rsidRPr="0046721F">
              <w:rPr>
                <w:rFonts w:cs="Arial"/>
              </w:rPr>
              <w:t>(</w:t>
            </w:r>
            <w:r>
              <w:rPr>
                <w:rFonts w:cs="Arial"/>
              </w:rPr>
              <w:t>2</w:t>
            </w:r>
            <w:r w:rsidRPr="0046721F">
              <w:rPr>
                <w:rFonts w:cs="Arial"/>
              </w:rPr>
              <w:t xml:space="preserve">) </w:t>
            </w:r>
            <w:r w:rsidRPr="00744C34">
              <w:rPr>
                <w:rFonts w:cs="Arial"/>
              </w:rPr>
              <w:t>informational mailing</w:t>
            </w:r>
            <w:r>
              <w:rPr>
                <w:rFonts w:cs="Arial"/>
              </w:rPr>
              <w:t xml:space="preserve">s to eligible program households </w:t>
            </w:r>
            <w:r w:rsidR="00AB7627">
              <w:rPr>
                <w:rFonts w:cs="Arial"/>
              </w:rPr>
              <w:t xml:space="preserve">must </w:t>
            </w:r>
            <w:r>
              <w:rPr>
                <w:rFonts w:cs="Arial"/>
              </w:rPr>
              <w:t>occur</w:t>
            </w:r>
            <w:r w:rsidR="00AB7627">
              <w:rPr>
                <w:rFonts w:cs="Arial"/>
              </w:rPr>
              <w:t xml:space="preserve"> </w:t>
            </w:r>
            <w:r>
              <w:rPr>
                <w:rFonts w:cs="Arial"/>
              </w:rPr>
              <w:t>during the It’s Your Choice open enrollment period;</w:t>
            </w:r>
          </w:p>
          <w:p w14:paraId="5EE7EC61" w14:textId="2EFD5340" w:rsidR="00DE78A1" w:rsidRPr="00DE78A1" w:rsidRDefault="00DE78A1" w:rsidP="00F01E1A">
            <w:pPr>
              <w:pStyle w:val="LRWLBodyText"/>
              <w:numPr>
                <w:ilvl w:val="0"/>
                <w:numId w:val="27"/>
              </w:numPr>
              <w:ind w:left="612"/>
            </w:pPr>
            <w:r>
              <w:t xml:space="preserve">The </w:t>
            </w:r>
            <w:r w:rsidR="007471E2">
              <w:t xml:space="preserve">proposed </w:t>
            </w:r>
            <w:r>
              <w:t xml:space="preserve">content for the </w:t>
            </w:r>
            <w:r w:rsidR="00C639C6">
              <w:t xml:space="preserve">web-portal, including </w:t>
            </w:r>
            <w:r>
              <w:t xml:space="preserve">health risk assessment must be provided to ETF </w:t>
            </w:r>
            <w:r w:rsidR="00C639C6">
              <w:t xml:space="preserve">and ready for initial testing </w:t>
            </w:r>
            <w:r>
              <w:t xml:space="preserve">no later than November </w:t>
            </w:r>
            <w:r w:rsidR="00C639C6">
              <w:t>4</w:t>
            </w:r>
            <w:r>
              <w:t>, 2016;</w:t>
            </w:r>
          </w:p>
          <w:p w14:paraId="294FE725" w14:textId="5D2599B9" w:rsidR="000E640C" w:rsidRPr="00EB66F3" w:rsidRDefault="000E640C" w:rsidP="00F01E1A">
            <w:pPr>
              <w:pStyle w:val="LRWLBodyText"/>
              <w:numPr>
                <w:ilvl w:val="0"/>
                <w:numId w:val="27"/>
              </w:numPr>
              <w:ind w:left="612"/>
            </w:pPr>
            <w:r>
              <w:rPr>
                <w:rFonts w:cs="Arial"/>
              </w:rPr>
              <w:t>The daily and full file compare of the ETF</w:t>
            </w:r>
            <w:r w:rsidRPr="00744C34">
              <w:rPr>
                <w:rFonts w:cs="Arial"/>
              </w:rPr>
              <w:t xml:space="preserve"> HIPAA 834 eligibility files </w:t>
            </w:r>
            <w:r w:rsidR="00B23D89">
              <w:rPr>
                <w:rFonts w:cs="Arial"/>
              </w:rPr>
              <w:t>must be</w:t>
            </w:r>
            <w:r>
              <w:rPr>
                <w:rFonts w:cs="Arial"/>
              </w:rPr>
              <w:t xml:space="preserve"> fully tested and are ready for program operation no later than November 11, 2016;</w:t>
            </w:r>
          </w:p>
          <w:p w14:paraId="7D5A4AE7" w14:textId="28EC0672" w:rsidR="000E640C" w:rsidRPr="000E640C" w:rsidRDefault="00027809" w:rsidP="00F01E1A">
            <w:pPr>
              <w:pStyle w:val="LRWLBodyText"/>
              <w:numPr>
                <w:ilvl w:val="0"/>
                <w:numId w:val="27"/>
              </w:numPr>
              <w:ind w:left="612"/>
            </w:pPr>
            <w:r>
              <w:rPr>
                <w:rFonts w:cs="Arial"/>
              </w:rPr>
              <w:lastRenderedPageBreak/>
              <w:t xml:space="preserve">The </w:t>
            </w:r>
            <w:r w:rsidR="00FD510B">
              <w:rPr>
                <w:rFonts w:cs="Arial"/>
              </w:rPr>
              <w:t>Contractor</w:t>
            </w:r>
            <w:r w:rsidR="00110B79">
              <w:rPr>
                <w:rFonts w:cs="Arial"/>
              </w:rPr>
              <w:t xml:space="preserve"> must establish and make available to employer groups the </w:t>
            </w:r>
            <w:r>
              <w:rPr>
                <w:rFonts w:cs="Arial"/>
              </w:rPr>
              <w:t>p</w:t>
            </w:r>
            <w:r w:rsidR="000E640C">
              <w:rPr>
                <w:rFonts w:cs="Arial"/>
              </w:rPr>
              <w:t xml:space="preserve">rocess for </w:t>
            </w:r>
            <w:r w:rsidR="000E640C" w:rsidRPr="00A1130B">
              <w:rPr>
                <w:rFonts w:cs="Arial"/>
              </w:rPr>
              <w:t>schedul</w:t>
            </w:r>
            <w:r w:rsidR="00110B79">
              <w:rPr>
                <w:rFonts w:cs="Arial"/>
              </w:rPr>
              <w:t>ing</w:t>
            </w:r>
            <w:r w:rsidR="000E640C" w:rsidRPr="00A1130B">
              <w:rPr>
                <w:rFonts w:cs="Arial"/>
              </w:rPr>
              <w:t xml:space="preserve"> 2017 biometric screening events</w:t>
            </w:r>
            <w:r w:rsidR="000E640C">
              <w:rPr>
                <w:rFonts w:cs="Arial"/>
              </w:rPr>
              <w:t xml:space="preserve"> no later than</w:t>
            </w:r>
            <w:r w:rsidR="000E640C" w:rsidRPr="00A1130B">
              <w:rPr>
                <w:rFonts w:cs="Arial"/>
              </w:rPr>
              <w:t xml:space="preserve"> </w:t>
            </w:r>
            <w:r w:rsidR="000E640C">
              <w:rPr>
                <w:rFonts w:cs="Arial"/>
              </w:rPr>
              <w:t>November 11, 2016;</w:t>
            </w:r>
          </w:p>
          <w:p w14:paraId="0A461970" w14:textId="1B5AEC6C" w:rsidR="000E640C" w:rsidRPr="00094B8C" w:rsidRDefault="00FD510B" w:rsidP="00F01E1A">
            <w:pPr>
              <w:pStyle w:val="LRWLBodyText"/>
              <w:numPr>
                <w:ilvl w:val="0"/>
                <w:numId w:val="27"/>
              </w:numPr>
              <w:ind w:left="612"/>
            </w:pPr>
            <w:r>
              <w:rPr>
                <w:rFonts w:cs="Arial"/>
              </w:rPr>
              <w:t>Contractor</w:t>
            </w:r>
            <w:r w:rsidR="00AB7627">
              <w:rPr>
                <w:rFonts w:cs="Arial"/>
              </w:rPr>
              <w:t xml:space="preserve"> </w:t>
            </w:r>
            <w:r w:rsidR="00945810">
              <w:rPr>
                <w:rFonts w:cs="Arial"/>
              </w:rPr>
              <w:t xml:space="preserve">has </w:t>
            </w:r>
            <w:r w:rsidR="000E640C">
              <w:rPr>
                <w:rFonts w:cs="Arial"/>
              </w:rPr>
              <w:t>established</w:t>
            </w:r>
            <w:r w:rsidR="00945810">
              <w:rPr>
                <w:rFonts w:cs="Arial"/>
              </w:rPr>
              <w:t xml:space="preserve"> and</w:t>
            </w:r>
            <w:r w:rsidR="00E703D1">
              <w:rPr>
                <w:rFonts w:cs="Arial"/>
              </w:rPr>
              <w:t xml:space="preserve"> </w:t>
            </w:r>
            <w:r w:rsidR="000E640C">
              <w:rPr>
                <w:rFonts w:cs="Arial"/>
              </w:rPr>
              <w:t>tested</w:t>
            </w:r>
            <w:r w:rsidR="00945810">
              <w:rPr>
                <w:rFonts w:cs="Arial"/>
              </w:rPr>
              <w:t xml:space="preserve"> the required</w:t>
            </w:r>
            <w:r w:rsidR="00E703D1">
              <w:rPr>
                <w:rFonts w:cs="Arial"/>
              </w:rPr>
              <w:t xml:space="preserve"> </w:t>
            </w:r>
            <w:r w:rsidR="00945810">
              <w:rPr>
                <w:rFonts w:cs="Arial"/>
              </w:rPr>
              <w:t>data transfers and such data transfers are</w:t>
            </w:r>
            <w:r w:rsidR="00E703D1">
              <w:rPr>
                <w:rFonts w:cs="Arial"/>
              </w:rPr>
              <w:t xml:space="preserve"> working correctly and securely</w:t>
            </w:r>
            <w:r w:rsidR="000E640C">
              <w:rPr>
                <w:rFonts w:cs="Arial"/>
              </w:rPr>
              <w:t xml:space="preserve"> with all participating health plans no later than December </w:t>
            </w:r>
            <w:r w:rsidR="00F13FED">
              <w:rPr>
                <w:rFonts w:cs="Arial"/>
              </w:rPr>
              <w:t>2</w:t>
            </w:r>
            <w:r w:rsidR="000E640C">
              <w:rPr>
                <w:rFonts w:cs="Arial"/>
              </w:rPr>
              <w:t>, 2016;</w:t>
            </w:r>
          </w:p>
          <w:p w14:paraId="2B698A8A" w14:textId="6CB60D8B" w:rsidR="007471E2" w:rsidRPr="00027809" w:rsidRDefault="00945810" w:rsidP="00F01E1A">
            <w:pPr>
              <w:pStyle w:val="LRWLBodyText"/>
              <w:numPr>
                <w:ilvl w:val="0"/>
                <w:numId w:val="27"/>
              </w:numPr>
              <w:ind w:left="612"/>
            </w:pPr>
            <w:r>
              <w:rPr>
                <w:rFonts w:cs="Arial"/>
              </w:rPr>
              <w:t xml:space="preserve">Contractor’s </w:t>
            </w:r>
            <w:r w:rsidR="008C379A">
              <w:rPr>
                <w:rFonts w:cs="Arial"/>
              </w:rPr>
              <w:t>web-portal</w:t>
            </w:r>
            <w:r w:rsidR="007471E2" w:rsidRPr="000E640C">
              <w:rPr>
                <w:rFonts w:cs="Arial"/>
              </w:rPr>
              <w:t xml:space="preserve"> is fully functional, </w:t>
            </w:r>
            <w:r w:rsidR="003F1037">
              <w:rPr>
                <w:rFonts w:cs="Arial"/>
              </w:rPr>
              <w:t xml:space="preserve">and includes all </w:t>
            </w:r>
            <w:r w:rsidR="00C639C6">
              <w:rPr>
                <w:rFonts w:cs="Arial"/>
              </w:rPr>
              <w:t>the features</w:t>
            </w:r>
            <w:r w:rsidR="007471E2" w:rsidRPr="000E640C">
              <w:rPr>
                <w:rFonts w:cs="Arial"/>
              </w:rPr>
              <w:t xml:space="preserve"> specified in Section 5.</w:t>
            </w:r>
            <w:r w:rsidR="007471E2">
              <w:rPr>
                <w:rFonts w:cs="Arial"/>
              </w:rPr>
              <w:t>6 F</w:t>
            </w:r>
            <w:r w:rsidR="007471E2" w:rsidRPr="000E640C">
              <w:rPr>
                <w:rFonts w:cs="Arial"/>
              </w:rPr>
              <w:t xml:space="preserve"> for </w:t>
            </w:r>
            <w:r w:rsidR="003F1037">
              <w:rPr>
                <w:rFonts w:cs="Arial"/>
              </w:rPr>
              <w:t xml:space="preserve">the </w:t>
            </w:r>
            <w:r w:rsidR="007471E2" w:rsidRPr="000E640C">
              <w:rPr>
                <w:rFonts w:cs="Arial"/>
              </w:rPr>
              <w:t>2017 program year</w:t>
            </w:r>
            <w:r w:rsidR="003F1037">
              <w:rPr>
                <w:rFonts w:cs="Arial"/>
              </w:rPr>
              <w:t xml:space="preserve">, and is available to all </w:t>
            </w:r>
            <w:r w:rsidR="00E46012">
              <w:rPr>
                <w:rFonts w:cs="Arial"/>
              </w:rPr>
              <w:t>Members</w:t>
            </w:r>
            <w:r w:rsidR="00E46012" w:rsidRPr="000E640C">
              <w:rPr>
                <w:rFonts w:cs="Arial"/>
              </w:rPr>
              <w:t xml:space="preserve"> </w:t>
            </w:r>
            <w:r w:rsidR="007471E2" w:rsidRPr="000E640C">
              <w:rPr>
                <w:rFonts w:cs="Arial"/>
              </w:rPr>
              <w:t xml:space="preserve">no later than December </w:t>
            </w:r>
            <w:r w:rsidR="00996299">
              <w:rPr>
                <w:rFonts w:cs="Arial"/>
              </w:rPr>
              <w:t>2</w:t>
            </w:r>
            <w:r w:rsidR="007471E2" w:rsidRPr="00552DD8">
              <w:rPr>
                <w:rFonts w:cs="Arial"/>
              </w:rPr>
              <w:t>, 2016</w:t>
            </w:r>
            <w:r w:rsidR="007471E2">
              <w:rPr>
                <w:rFonts w:cs="Arial"/>
              </w:rPr>
              <w:t>;</w:t>
            </w:r>
          </w:p>
          <w:p w14:paraId="4B5E85DC" w14:textId="17118653" w:rsidR="00355EDA" w:rsidRDefault="002D3909" w:rsidP="00F01E1A">
            <w:pPr>
              <w:pStyle w:val="LRWLBodyText"/>
              <w:numPr>
                <w:ilvl w:val="0"/>
                <w:numId w:val="27"/>
              </w:numPr>
              <w:ind w:left="612"/>
            </w:pPr>
            <w:r>
              <w:t>All p</w:t>
            </w:r>
            <w:r w:rsidR="00355EDA">
              <w:t xml:space="preserve">rogram content </w:t>
            </w:r>
            <w:r>
              <w:t xml:space="preserve">that </w:t>
            </w:r>
            <w:r w:rsidR="00C639C6">
              <w:t xml:space="preserve">will be </w:t>
            </w:r>
            <w:r>
              <w:t xml:space="preserve">available at the time of the Program Launch date </w:t>
            </w:r>
            <w:r w:rsidR="00355EDA">
              <w:t>has received approval by ETF</w:t>
            </w:r>
            <w:r w:rsidR="000E640C">
              <w:t xml:space="preserve"> no later than December 16, 2016</w:t>
            </w:r>
            <w:r w:rsidR="009D4FF8">
              <w:t>;</w:t>
            </w:r>
          </w:p>
          <w:p w14:paraId="46D3D5D2" w14:textId="0B4A0C6B" w:rsidR="00027809" w:rsidRPr="00644C74" w:rsidRDefault="00EB66F3" w:rsidP="00F01E1A">
            <w:pPr>
              <w:pStyle w:val="LRWLBodyText"/>
              <w:numPr>
                <w:ilvl w:val="0"/>
                <w:numId w:val="27"/>
              </w:numPr>
              <w:ind w:left="612"/>
            </w:pPr>
            <w:r>
              <w:rPr>
                <w:rFonts w:cs="Arial"/>
              </w:rPr>
              <w:t xml:space="preserve">Content for </w:t>
            </w:r>
            <w:r w:rsidR="00355EDA">
              <w:rPr>
                <w:rFonts w:cs="Arial"/>
              </w:rPr>
              <w:t>January 2017</w:t>
            </w:r>
            <w:r>
              <w:rPr>
                <w:rFonts w:cs="Arial"/>
              </w:rPr>
              <w:t xml:space="preserve"> </w:t>
            </w:r>
            <w:r w:rsidRPr="00744C34">
              <w:rPr>
                <w:rFonts w:cs="Arial"/>
              </w:rPr>
              <w:t>informational mailing</w:t>
            </w:r>
            <w:r>
              <w:rPr>
                <w:rFonts w:cs="Arial"/>
              </w:rPr>
              <w:t xml:space="preserve"> to eligible program households </w:t>
            </w:r>
            <w:r w:rsidR="009B7AB5">
              <w:rPr>
                <w:rFonts w:cs="Arial"/>
              </w:rPr>
              <w:t xml:space="preserve">has been </w:t>
            </w:r>
            <w:r>
              <w:rPr>
                <w:rFonts w:cs="Arial"/>
              </w:rPr>
              <w:t xml:space="preserve">approved </w:t>
            </w:r>
            <w:r w:rsidR="009B7AB5">
              <w:rPr>
                <w:rFonts w:cs="Arial"/>
              </w:rPr>
              <w:t xml:space="preserve">by the ETF Program Manager </w:t>
            </w:r>
            <w:r>
              <w:rPr>
                <w:rFonts w:cs="Arial"/>
              </w:rPr>
              <w:t xml:space="preserve">and </w:t>
            </w:r>
            <w:r w:rsidR="00110B79">
              <w:rPr>
                <w:rFonts w:cs="Arial"/>
              </w:rPr>
              <w:t xml:space="preserve">a January </w:t>
            </w:r>
            <w:r>
              <w:rPr>
                <w:rFonts w:cs="Arial"/>
              </w:rPr>
              <w:t>mail date scheduled</w:t>
            </w:r>
            <w:r w:rsidR="004D519C">
              <w:rPr>
                <w:rFonts w:cs="Arial"/>
              </w:rPr>
              <w:t xml:space="preserve"> no later than December 1</w:t>
            </w:r>
            <w:r w:rsidR="00027809">
              <w:rPr>
                <w:rFonts w:cs="Arial"/>
              </w:rPr>
              <w:t>6, 2016; and</w:t>
            </w:r>
          </w:p>
          <w:p w14:paraId="1E933146" w14:textId="10FEE6FD" w:rsidR="00F57731" w:rsidRDefault="00644C74" w:rsidP="00F01E1A">
            <w:pPr>
              <w:pStyle w:val="LRWLBodyText"/>
              <w:numPr>
                <w:ilvl w:val="0"/>
                <w:numId w:val="27"/>
              </w:numPr>
              <w:ind w:left="612"/>
            </w:pPr>
            <w:r>
              <w:rPr>
                <w:rFonts w:cs="Arial"/>
              </w:rPr>
              <w:t>Contractor data transfers are established and tested with the PBM no later than March 3, 2017.</w:t>
            </w:r>
          </w:p>
        </w:tc>
      </w:tr>
    </w:tbl>
    <w:p w14:paraId="53CF6C11" w14:textId="77777777" w:rsidR="00120D94" w:rsidRDefault="00120D94" w:rsidP="00F01E1A">
      <w:pPr>
        <w:pStyle w:val="Heading2"/>
        <w:tabs>
          <w:tab w:val="clear" w:pos="720"/>
          <w:tab w:val="left" w:pos="540"/>
        </w:tabs>
        <w:ind w:left="720" w:hanging="720"/>
      </w:pPr>
      <w:r>
        <w:lastRenderedPageBreak/>
        <w:t>Administrative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8564"/>
      </w:tblGrid>
      <w:tr w:rsidR="00120D94" w:rsidRPr="00266B3E" w14:paraId="0C36E6D0" w14:textId="77777777" w:rsidTr="00F01E1A">
        <w:tc>
          <w:tcPr>
            <w:tcW w:w="540" w:type="dxa"/>
          </w:tcPr>
          <w:p w14:paraId="5771BA24" w14:textId="661145EB" w:rsidR="00120D94" w:rsidRDefault="00120D94" w:rsidP="00F01E1A">
            <w:pPr>
              <w:pStyle w:val="ListParagraph"/>
              <w:numPr>
                <w:ilvl w:val="0"/>
                <w:numId w:val="68"/>
              </w:numPr>
            </w:pPr>
          </w:p>
        </w:tc>
        <w:tc>
          <w:tcPr>
            <w:tcW w:w="8564" w:type="dxa"/>
          </w:tcPr>
          <w:p w14:paraId="40FEDB7B" w14:textId="1C47CCB8" w:rsidR="00120D94" w:rsidRPr="00113211" w:rsidRDefault="00120D94" w:rsidP="00881E2F">
            <w:pPr>
              <w:rPr>
                <w:rFonts w:ascii="Arial" w:hAnsi="Arial" w:cs="Arial"/>
              </w:rPr>
            </w:pPr>
            <w:r>
              <w:rPr>
                <w:rFonts w:ascii="Arial" w:hAnsi="Arial" w:cs="Arial"/>
              </w:rPr>
              <w:t xml:space="preserve">The </w:t>
            </w:r>
            <w:r w:rsidR="00FD510B">
              <w:rPr>
                <w:rFonts w:ascii="Arial" w:hAnsi="Arial" w:cs="Arial"/>
              </w:rPr>
              <w:t>Proposer</w:t>
            </w:r>
            <w:r>
              <w:rPr>
                <w:rFonts w:ascii="Arial" w:hAnsi="Arial" w:cs="Arial"/>
              </w:rPr>
              <w:t xml:space="preserve"> must have a minimum of five (5) years of experience administering a comprehensive wellness and disease management program for an employer group of over </w:t>
            </w:r>
            <w:r w:rsidR="00881E2F" w:rsidRPr="00881E2F">
              <w:rPr>
                <w:rFonts w:ascii="Arial" w:hAnsi="Arial" w:cs="Arial"/>
              </w:rPr>
              <w:t>1</w:t>
            </w:r>
            <w:r w:rsidR="00206C44" w:rsidRPr="00881E2F">
              <w:rPr>
                <w:rFonts w:ascii="Arial" w:hAnsi="Arial" w:cs="Arial"/>
              </w:rPr>
              <w:t>00</w:t>
            </w:r>
            <w:r w:rsidRPr="00881E2F">
              <w:rPr>
                <w:rFonts w:ascii="Arial" w:hAnsi="Arial" w:cs="Arial"/>
              </w:rPr>
              <w:t>,000</w:t>
            </w:r>
            <w:r>
              <w:rPr>
                <w:rFonts w:ascii="Arial" w:hAnsi="Arial" w:cs="Arial"/>
              </w:rPr>
              <w:t xml:space="preserve"> covered lives </w:t>
            </w:r>
            <w:r w:rsidR="00206C44">
              <w:rPr>
                <w:rFonts w:ascii="Arial" w:hAnsi="Arial" w:cs="Arial"/>
              </w:rPr>
              <w:t xml:space="preserve">and </w:t>
            </w:r>
            <w:r>
              <w:rPr>
                <w:rFonts w:ascii="Arial" w:hAnsi="Arial" w:cs="Arial"/>
              </w:rPr>
              <w:t>a minimum of one hundred (100) different work locations.</w:t>
            </w:r>
          </w:p>
        </w:tc>
      </w:tr>
      <w:tr w:rsidR="00120D94" w:rsidRPr="00266B3E" w14:paraId="77E20A94" w14:textId="77777777" w:rsidTr="00F01E1A">
        <w:tc>
          <w:tcPr>
            <w:tcW w:w="540" w:type="dxa"/>
          </w:tcPr>
          <w:p w14:paraId="314166F8" w14:textId="7212EB08" w:rsidR="00120D94" w:rsidRDefault="00120D94" w:rsidP="00F01E1A">
            <w:pPr>
              <w:pStyle w:val="ListParagraph"/>
              <w:numPr>
                <w:ilvl w:val="0"/>
                <w:numId w:val="68"/>
              </w:numPr>
            </w:pPr>
          </w:p>
        </w:tc>
        <w:tc>
          <w:tcPr>
            <w:tcW w:w="8564" w:type="dxa"/>
          </w:tcPr>
          <w:p w14:paraId="351814C8" w14:textId="24D4DEA0" w:rsidR="00120D94" w:rsidRPr="00113211" w:rsidRDefault="00120D94" w:rsidP="00BE6D61">
            <w:pPr>
              <w:rPr>
                <w:rFonts w:ascii="Arial" w:hAnsi="Arial" w:cs="Arial"/>
              </w:rPr>
            </w:pPr>
            <w:r>
              <w:rPr>
                <w:rFonts w:ascii="Arial" w:hAnsi="Arial" w:cs="Arial"/>
              </w:rPr>
              <w:t xml:space="preserve">The </w:t>
            </w:r>
            <w:r w:rsidR="00FD510B">
              <w:rPr>
                <w:rFonts w:ascii="Arial" w:hAnsi="Arial" w:cs="Arial"/>
              </w:rPr>
              <w:t>Proposer</w:t>
            </w:r>
            <w:r>
              <w:rPr>
                <w:rFonts w:ascii="Arial" w:hAnsi="Arial" w:cs="Arial"/>
              </w:rPr>
              <w:t xml:space="preserve"> must have a minimum of five (5) years of experience administering a comprehensive wellness and disease management program for a </w:t>
            </w:r>
            <w:r w:rsidRPr="007A1457">
              <w:rPr>
                <w:rFonts w:ascii="Arial" w:hAnsi="Arial" w:cs="Arial"/>
                <w:u w:val="single"/>
              </w:rPr>
              <w:t>public</w:t>
            </w:r>
            <w:r>
              <w:rPr>
                <w:rFonts w:ascii="Arial" w:hAnsi="Arial" w:cs="Arial"/>
              </w:rPr>
              <w:t xml:space="preserve"> sector employer that </w:t>
            </w:r>
            <w:r w:rsidR="00206C44">
              <w:rPr>
                <w:rFonts w:ascii="Arial" w:hAnsi="Arial" w:cs="Arial"/>
              </w:rPr>
              <w:t xml:space="preserve">includes </w:t>
            </w:r>
            <w:r w:rsidR="00C639C6">
              <w:rPr>
                <w:rFonts w:ascii="Arial" w:hAnsi="Arial" w:cs="Arial"/>
              </w:rPr>
              <w:t xml:space="preserve">conducting </w:t>
            </w:r>
            <w:r w:rsidR="00206C44">
              <w:rPr>
                <w:rFonts w:ascii="Arial" w:hAnsi="Arial" w:cs="Arial"/>
              </w:rPr>
              <w:t xml:space="preserve">onsite biometric screening to </w:t>
            </w:r>
            <w:r>
              <w:rPr>
                <w:rFonts w:ascii="Arial" w:hAnsi="Arial" w:cs="Arial"/>
              </w:rPr>
              <w:t xml:space="preserve">over </w:t>
            </w:r>
            <w:r w:rsidR="00BE6D61">
              <w:rPr>
                <w:rFonts w:ascii="Arial" w:hAnsi="Arial" w:cs="Arial"/>
              </w:rPr>
              <w:t>20,000</w:t>
            </w:r>
            <w:r>
              <w:rPr>
                <w:rFonts w:ascii="Arial" w:hAnsi="Arial" w:cs="Arial"/>
              </w:rPr>
              <w:t xml:space="preserve"> </w:t>
            </w:r>
            <w:r w:rsidR="00206C44">
              <w:rPr>
                <w:rFonts w:ascii="Arial" w:hAnsi="Arial" w:cs="Arial"/>
              </w:rPr>
              <w:t xml:space="preserve">individuals </w:t>
            </w:r>
            <w:r w:rsidR="00881E2F">
              <w:rPr>
                <w:rFonts w:ascii="Arial" w:hAnsi="Arial" w:cs="Arial"/>
              </w:rPr>
              <w:t>per year</w:t>
            </w:r>
            <w:r w:rsidR="00A6172B">
              <w:rPr>
                <w:rFonts w:ascii="Arial" w:hAnsi="Arial" w:cs="Arial"/>
              </w:rPr>
              <w:t xml:space="preserve"> </w:t>
            </w:r>
            <w:r w:rsidR="00206C44">
              <w:rPr>
                <w:rFonts w:ascii="Arial" w:hAnsi="Arial" w:cs="Arial"/>
              </w:rPr>
              <w:t>and managing program requirements, including a health risk assessment for over 40,000 individuals</w:t>
            </w:r>
            <w:r w:rsidR="00BE6D61">
              <w:rPr>
                <w:rFonts w:ascii="Arial" w:hAnsi="Arial" w:cs="Arial"/>
              </w:rPr>
              <w:t xml:space="preserve"> per year</w:t>
            </w:r>
            <w:r w:rsidR="00206C44">
              <w:rPr>
                <w:rFonts w:ascii="Arial" w:hAnsi="Arial" w:cs="Arial"/>
              </w:rPr>
              <w:t>.</w:t>
            </w:r>
          </w:p>
        </w:tc>
      </w:tr>
      <w:tr w:rsidR="00120D94" w:rsidRPr="00266B3E" w14:paraId="22C1F878" w14:textId="77777777" w:rsidTr="00F01E1A">
        <w:tc>
          <w:tcPr>
            <w:tcW w:w="540" w:type="dxa"/>
          </w:tcPr>
          <w:p w14:paraId="35BCCC5F" w14:textId="7DDBD46A" w:rsidR="00120D94" w:rsidRDefault="00120D94" w:rsidP="00F01E1A">
            <w:pPr>
              <w:pStyle w:val="ListParagraph"/>
              <w:numPr>
                <w:ilvl w:val="0"/>
                <w:numId w:val="68"/>
              </w:numPr>
            </w:pPr>
          </w:p>
        </w:tc>
        <w:tc>
          <w:tcPr>
            <w:tcW w:w="8564" w:type="dxa"/>
          </w:tcPr>
          <w:p w14:paraId="26F9350D" w14:textId="61C5F904" w:rsidR="00120D94" w:rsidRDefault="00120D94" w:rsidP="00AB728A">
            <w:pPr>
              <w:rPr>
                <w:rFonts w:ascii="Arial" w:hAnsi="Arial" w:cs="Arial"/>
              </w:rPr>
            </w:pPr>
            <w:r w:rsidRPr="00113211">
              <w:rPr>
                <w:rFonts w:ascii="Arial" w:hAnsi="Arial" w:cs="Arial"/>
              </w:rPr>
              <w:t xml:space="preserve">The </w:t>
            </w:r>
            <w:r w:rsidR="00FD510B">
              <w:rPr>
                <w:rFonts w:ascii="Arial" w:hAnsi="Arial" w:cs="Arial"/>
              </w:rPr>
              <w:t>Contractor</w:t>
            </w:r>
            <w:r>
              <w:rPr>
                <w:rFonts w:ascii="Arial" w:hAnsi="Arial" w:cs="Arial"/>
              </w:rPr>
              <w:t xml:space="preserve"> must</w:t>
            </w:r>
            <w:r w:rsidRPr="00113211">
              <w:rPr>
                <w:rFonts w:ascii="Arial" w:hAnsi="Arial" w:cs="Arial"/>
              </w:rPr>
              <w:t xml:space="preserve"> serve as a subject-matter resource by responding to specific</w:t>
            </w:r>
            <w:r>
              <w:rPr>
                <w:rFonts w:ascii="Arial" w:hAnsi="Arial" w:cs="Arial"/>
              </w:rPr>
              <w:t xml:space="preserve"> </w:t>
            </w:r>
            <w:r w:rsidRPr="00113211">
              <w:rPr>
                <w:rFonts w:ascii="Arial" w:hAnsi="Arial" w:cs="Arial"/>
              </w:rPr>
              <w:t>inquiries from</w:t>
            </w:r>
            <w:r>
              <w:rPr>
                <w:rFonts w:ascii="Arial" w:hAnsi="Arial" w:cs="Arial"/>
              </w:rPr>
              <w:t xml:space="preserve"> ETF</w:t>
            </w:r>
            <w:r w:rsidRPr="00113211">
              <w:rPr>
                <w:rFonts w:ascii="Arial" w:hAnsi="Arial" w:cs="Arial"/>
              </w:rPr>
              <w:t xml:space="preserve"> and by providing information on emerging best practices that affect</w:t>
            </w:r>
            <w:r>
              <w:rPr>
                <w:rFonts w:ascii="Arial" w:hAnsi="Arial" w:cs="Arial"/>
              </w:rPr>
              <w:t xml:space="preserve"> </w:t>
            </w:r>
            <w:r w:rsidRPr="00113211">
              <w:rPr>
                <w:rFonts w:ascii="Arial" w:hAnsi="Arial" w:cs="Arial"/>
              </w:rPr>
              <w:t xml:space="preserve">wellness </w:t>
            </w:r>
            <w:r>
              <w:rPr>
                <w:rFonts w:ascii="Arial" w:hAnsi="Arial" w:cs="Arial"/>
              </w:rPr>
              <w:t xml:space="preserve">and disease management </w:t>
            </w:r>
            <w:r w:rsidRPr="00113211">
              <w:rPr>
                <w:rFonts w:ascii="Arial" w:hAnsi="Arial" w:cs="Arial"/>
              </w:rPr>
              <w:t>programs.</w:t>
            </w:r>
            <w:r>
              <w:rPr>
                <w:rFonts w:ascii="Arial" w:hAnsi="Arial" w:cs="Arial"/>
              </w:rPr>
              <w:t xml:space="preserve"> In addition, the </w:t>
            </w:r>
            <w:r w:rsidR="00FD510B">
              <w:rPr>
                <w:rFonts w:ascii="Arial" w:hAnsi="Arial" w:cs="Arial"/>
              </w:rPr>
              <w:t>Contractor</w:t>
            </w:r>
            <w:r>
              <w:rPr>
                <w:rFonts w:ascii="Arial" w:hAnsi="Arial" w:cs="Arial"/>
              </w:rPr>
              <w:t xml:space="preserve"> must be available to:</w:t>
            </w:r>
          </w:p>
          <w:p w14:paraId="4174F3B6" w14:textId="5B07D888" w:rsidR="00120D94" w:rsidRPr="00113211" w:rsidRDefault="00120D94" w:rsidP="00F01E1A">
            <w:pPr>
              <w:pStyle w:val="LRWLBodyText"/>
              <w:numPr>
                <w:ilvl w:val="0"/>
                <w:numId w:val="41"/>
              </w:numPr>
              <w:rPr>
                <w:rFonts w:cs="Arial"/>
              </w:rPr>
            </w:pPr>
            <w:r>
              <w:t xml:space="preserve">Meet with ETF and stakeholders of </w:t>
            </w:r>
            <w:r w:rsidRPr="00435511">
              <w:rPr>
                <w:rFonts w:cs="Arial"/>
              </w:rPr>
              <w:t xml:space="preserve">the </w:t>
            </w:r>
            <w:r>
              <w:rPr>
                <w:rFonts w:cs="Arial"/>
              </w:rPr>
              <w:t>GHIP/WPE programs</w:t>
            </w:r>
            <w:r>
              <w:t xml:space="preserve"> every other week over the course of the first quarter of each </w:t>
            </w:r>
            <w:r w:rsidR="0038174C">
              <w:t xml:space="preserve">Contract </w:t>
            </w:r>
            <w:r>
              <w:t>program year to evaluate the current program design and offerings. This evaluation will result in recommendations to the Board for changes to program design and execution for the following program year that will address the health risk factors identified in the ETF population, drive participation rates and improve health outcomes.</w:t>
            </w:r>
          </w:p>
          <w:p w14:paraId="3EB66B9A" w14:textId="4FE770EE" w:rsidR="00120D94" w:rsidRPr="00113211" w:rsidRDefault="00120D94" w:rsidP="00F01E1A">
            <w:pPr>
              <w:pStyle w:val="LRWLBodyText"/>
              <w:numPr>
                <w:ilvl w:val="0"/>
                <w:numId w:val="41"/>
              </w:numPr>
              <w:rPr>
                <w:rFonts w:cs="Arial"/>
              </w:rPr>
            </w:pPr>
            <w:r>
              <w:t xml:space="preserve">Meet with ETF and stakeholders of </w:t>
            </w:r>
            <w:r w:rsidRPr="00435511">
              <w:rPr>
                <w:rFonts w:cs="Arial"/>
              </w:rPr>
              <w:t xml:space="preserve">the </w:t>
            </w:r>
            <w:r>
              <w:rPr>
                <w:rFonts w:cs="Arial"/>
              </w:rPr>
              <w:t>GHIP/WPE programs</w:t>
            </w:r>
            <w:r>
              <w:t xml:space="preserve"> every other week over the course of the second quarter of each </w:t>
            </w:r>
            <w:r w:rsidR="0038174C">
              <w:t xml:space="preserve">Contract </w:t>
            </w:r>
            <w:r>
              <w:t xml:space="preserve">program year to assess </w:t>
            </w:r>
            <w:r w:rsidRPr="00317DAC">
              <w:rPr>
                <w:rFonts w:cs="Arial"/>
                <w:color w:val="000000"/>
              </w:rPr>
              <w:t>program modification</w:t>
            </w:r>
            <w:r>
              <w:rPr>
                <w:rFonts w:cs="Arial"/>
                <w:color w:val="000000"/>
              </w:rPr>
              <w:t>s</w:t>
            </w:r>
            <w:r w:rsidRPr="00317DAC">
              <w:rPr>
                <w:rFonts w:cs="Arial"/>
                <w:color w:val="000000"/>
              </w:rPr>
              <w:t xml:space="preserve"> for the next </w:t>
            </w:r>
            <w:r w:rsidR="0038174C">
              <w:rPr>
                <w:rFonts w:cs="Arial"/>
                <w:color w:val="000000"/>
              </w:rPr>
              <w:t xml:space="preserve">Contract </w:t>
            </w:r>
            <w:r w:rsidRPr="00317DAC">
              <w:rPr>
                <w:rFonts w:cs="Arial"/>
                <w:color w:val="000000"/>
              </w:rPr>
              <w:t xml:space="preserve">program year, including but not limited to </w:t>
            </w:r>
            <w:r>
              <w:rPr>
                <w:rFonts w:cs="Arial"/>
                <w:color w:val="000000"/>
              </w:rPr>
              <w:t>action items in section 5.2.C</w:t>
            </w:r>
            <w:r w:rsidRPr="00113211">
              <w:rPr>
                <w:rFonts w:cs="Arial"/>
                <w:color w:val="000000"/>
              </w:rPr>
              <w:t>.1.</w:t>
            </w:r>
            <w:r w:rsidR="00356CA1">
              <w:rPr>
                <w:rFonts w:cs="Arial"/>
                <w:color w:val="000000"/>
              </w:rPr>
              <w:t>,</w:t>
            </w:r>
            <w:r>
              <w:rPr>
                <w:rFonts w:cs="Arial"/>
                <w:color w:val="000000"/>
              </w:rPr>
              <w:t xml:space="preserve"> above</w:t>
            </w:r>
            <w:r w:rsidRPr="00113211">
              <w:rPr>
                <w:rFonts w:cs="Arial"/>
                <w:color w:val="000000"/>
              </w:rPr>
              <w:t>, program</w:t>
            </w:r>
            <w:r>
              <w:rPr>
                <w:rFonts w:cs="Arial"/>
                <w:color w:val="000000"/>
              </w:rPr>
              <w:t xml:space="preserve"> requirements and options, </w:t>
            </w:r>
            <w:r w:rsidRPr="00317DAC">
              <w:rPr>
                <w:rFonts w:cs="Arial"/>
                <w:color w:val="000000"/>
              </w:rPr>
              <w:t>website</w:t>
            </w:r>
            <w:r>
              <w:rPr>
                <w:rFonts w:cs="Arial"/>
                <w:color w:val="000000"/>
              </w:rPr>
              <w:t xml:space="preserve"> and portal</w:t>
            </w:r>
            <w:r w:rsidRPr="00317DAC">
              <w:rPr>
                <w:rFonts w:cs="Arial"/>
                <w:color w:val="000000"/>
              </w:rPr>
              <w:t xml:space="preserve"> features, </w:t>
            </w:r>
            <w:r>
              <w:rPr>
                <w:rFonts w:cs="Arial"/>
                <w:color w:val="000000"/>
              </w:rPr>
              <w:t xml:space="preserve">annual outreach and </w:t>
            </w:r>
            <w:r w:rsidRPr="00317DAC">
              <w:rPr>
                <w:rFonts w:cs="Arial"/>
                <w:color w:val="000000"/>
              </w:rPr>
              <w:t>communication plan</w:t>
            </w:r>
            <w:r>
              <w:rPr>
                <w:rFonts w:cs="Arial"/>
                <w:color w:val="000000"/>
              </w:rPr>
              <w:t>s and,</w:t>
            </w:r>
            <w:r w:rsidRPr="00317DAC">
              <w:rPr>
                <w:rFonts w:cs="Arial"/>
                <w:color w:val="000000"/>
              </w:rPr>
              <w:t xml:space="preserve"> optional resources and additional services.</w:t>
            </w:r>
          </w:p>
          <w:p w14:paraId="774ACEA8" w14:textId="77777777" w:rsidR="00120D94" w:rsidRPr="006B1AB5" w:rsidRDefault="00120D94" w:rsidP="00F01E1A">
            <w:pPr>
              <w:pStyle w:val="LRWLBodyText"/>
              <w:numPr>
                <w:ilvl w:val="0"/>
                <w:numId w:val="41"/>
              </w:numPr>
              <w:rPr>
                <w:rFonts w:cs="Arial"/>
              </w:rPr>
            </w:pPr>
            <w:r>
              <w:rPr>
                <w:rFonts w:cs="Arial"/>
                <w:color w:val="000000"/>
              </w:rPr>
              <w:lastRenderedPageBreak/>
              <w:t>Attend, in person, up to two (2) Board meetings per year for the term of the Contract, and assist with presentations to the Board on the current program and recommendations for future programming.</w:t>
            </w:r>
          </w:p>
          <w:p w14:paraId="0BE6E976" w14:textId="77777777" w:rsidR="00120D94" w:rsidRDefault="00120D94" w:rsidP="00F01E1A">
            <w:pPr>
              <w:pStyle w:val="LRWLBodyText"/>
              <w:numPr>
                <w:ilvl w:val="0"/>
                <w:numId w:val="41"/>
              </w:numPr>
              <w:rPr>
                <w:rFonts w:cs="Arial"/>
              </w:rPr>
            </w:pPr>
            <w:r>
              <w:rPr>
                <w:rFonts w:cs="Arial"/>
              </w:rPr>
              <w:t>Participate in monthly operational meetings with ETF staff.</w:t>
            </w:r>
          </w:p>
          <w:p w14:paraId="34971308" w14:textId="6025C86B" w:rsidR="00120D94" w:rsidRPr="00113211" w:rsidRDefault="00120D94" w:rsidP="00A146AC">
            <w:pPr>
              <w:pStyle w:val="LRWLBodyText"/>
              <w:rPr>
                <w:rFonts w:cs="Arial"/>
              </w:rPr>
            </w:pPr>
            <w:r>
              <w:rPr>
                <w:rFonts w:cs="Arial"/>
              </w:rPr>
              <w:t xml:space="preserve">Any time there are proposed changes to the wellness and disease management programs of </w:t>
            </w:r>
            <w:r w:rsidRPr="00435511">
              <w:rPr>
                <w:rFonts w:cs="Arial"/>
              </w:rPr>
              <w:t xml:space="preserve">the </w:t>
            </w:r>
            <w:r>
              <w:rPr>
                <w:rFonts w:cs="Arial"/>
              </w:rPr>
              <w:t xml:space="preserve">GHIP/WPE programs, the </w:t>
            </w:r>
            <w:r w:rsidR="00A146AC">
              <w:rPr>
                <w:rFonts w:cs="Arial"/>
              </w:rPr>
              <w:t>Contractor</w:t>
            </w:r>
            <w:r>
              <w:rPr>
                <w:rFonts w:cs="Arial"/>
              </w:rPr>
              <w:t xml:space="preserve"> must review and comment on proposed changes and provide a summary to ETF that compares the changes to industry practices, the overall cost impact, how it may impact the </w:t>
            </w:r>
            <w:r w:rsidR="00A146AC">
              <w:rPr>
                <w:rFonts w:cs="Arial"/>
              </w:rPr>
              <w:t>Contractor’s</w:t>
            </w:r>
            <w:r>
              <w:rPr>
                <w:rFonts w:cs="Arial"/>
              </w:rPr>
              <w:t xml:space="preserve"> performance, necessary changes in the </w:t>
            </w:r>
            <w:r w:rsidR="00A146AC">
              <w:rPr>
                <w:rFonts w:cs="Arial"/>
              </w:rPr>
              <w:t>Contractor’s</w:t>
            </w:r>
            <w:r>
              <w:rPr>
                <w:rFonts w:cs="Arial"/>
              </w:rPr>
              <w:t xml:space="preserve"> reporting requirements, and system changes that would be required to support the change.</w:t>
            </w:r>
          </w:p>
        </w:tc>
      </w:tr>
      <w:tr w:rsidR="00120D94" w:rsidRPr="006518F1" w14:paraId="3498F31B" w14:textId="77777777" w:rsidTr="00F01E1A">
        <w:tc>
          <w:tcPr>
            <w:tcW w:w="540" w:type="dxa"/>
          </w:tcPr>
          <w:p w14:paraId="0665CFEA" w14:textId="77777777" w:rsidR="00120D94" w:rsidRDefault="00120D94" w:rsidP="00F01E1A">
            <w:pPr>
              <w:pStyle w:val="ListParagraph"/>
              <w:numPr>
                <w:ilvl w:val="0"/>
                <w:numId w:val="68"/>
              </w:numPr>
            </w:pPr>
          </w:p>
        </w:tc>
        <w:tc>
          <w:tcPr>
            <w:tcW w:w="8564" w:type="dxa"/>
          </w:tcPr>
          <w:p w14:paraId="0AE5FFF4" w14:textId="2B26DCF9" w:rsidR="00120D94" w:rsidRDefault="00120D94" w:rsidP="00AB728A">
            <w:pPr>
              <w:rPr>
                <w:rFonts w:ascii="Arial" w:hAnsi="Arial" w:cs="Arial"/>
              </w:rPr>
            </w:pPr>
            <w:r w:rsidRPr="006518F1">
              <w:rPr>
                <w:rFonts w:ascii="Arial" w:hAnsi="Arial" w:cs="Arial"/>
              </w:rPr>
              <w:t xml:space="preserve">The </w:t>
            </w:r>
            <w:r w:rsidR="00A146AC">
              <w:rPr>
                <w:rFonts w:ascii="Arial" w:hAnsi="Arial" w:cs="Arial"/>
              </w:rPr>
              <w:t>Contractor</w:t>
            </w:r>
            <w:r w:rsidRPr="006518F1">
              <w:rPr>
                <w:rFonts w:ascii="Arial" w:hAnsi="Arial" w:cs="Arial"/>
              </w:rPr>
              <w:t xml:space="preserve"> </w:t>
            </w:r>
            <w:r w:rsidR="00414C09">
              <w:rPr>
                <w:rFonts w:ascii="Arial" w:hAnsi="Arial" w:cs="Arial"/>
              </w:rPr>
              <w:t xml:space="preserve">must monitor the development of </w:t>
            </w:r>
            <w:r w:rsidRPr="006518F1">
              <w:rPr>
                <w:rFonts w:ascii="Arial" w:hAnsi="Arial" w:cs="Arial"/>
              </w:rPr>
              <w:t xml:space="preserve">and provide notification, information and advice in a timely manner to ETF concerning existing or proposed State or </w:t>
            </w:r>
            <w:r>
              <w:rPr>
                <w:rFonts w:ascii="Arial" w:hAnsi="Arial" w:cs="Arial"/>
              </w:rPr>
              <w:t>f</w:t>
            </w:r>
            <w:r w:rsidRPr="006518F1">
              <w:rPr>
                <w:rFonts w:ascii="Arial" w:hAnsi="Arial" w:cs="Arial"/>
              </w:rPr>
              <w:t xml:space="preserve">ederal regulations or legislation that may affect the program. The </w:t>
            </w:r>
            <w:r w:rsidR="00A146AC">
              <w:rPr>
                <w:rFonts w:ascii="Arial" w:hAnsi="Arial" w:cs="Arial"/>
              </w:rPr>
              <w:t>Contractor</w:t>
            </w:r>
            <w:r w:rsidRPr="006518F1">
              <w:rPr>
                <w:rFonts w:ascii="Arial" w:hAnsi="Arial" w:cs="Arial"/>
              </w:rPr>
              <w:t xml:space="preserve"> must have legal and technical staff available to ETF for advice and consultation as needed for program administration, including during any appeals processes</w:t>
            </w:r>
            <w:r>
              <w:rPr>
                <w:rFonts w:ascii="Arial" w:hAnsi="Arial" w:cs="Arial"/>
              </w:rPr>
              <w:t xml:space="preserve"> concerning program requirements or eligibility</w:t>
            </w:r>
            <w:r w:rsidRPr="006518F1">
              <w:rPr>
                <w:rFonts w:ascii="Arial" w:hAnsi="Arial" w:cs="Arial"/>
              </w:rPr>
              <w:t>.</w:t>
            </w:r>
          </w:p>
        </w:tc>
      </w:tr>
      <w:tr w:rsidR="00120D94" w:rsidRPr="006518F1" w14:paraId="209F384F" w14:textId="77777777" w:rsidTr="00F01E1A">
        <w:tc>
          <w:tcPr>
            <w:tcW w:w="540" w:type="dxa"/>
          </w:tcPr>
          <w:p w14:paraId="6AB326E0" w14:textId="77777777" w:rsidR="00120D94" w:rsidRDefault="00120D94" w:rsidP="00F01E1A">
            <w:pPr>
              <w:pStyle w:val="ListParagraph"/>
              <w:numPr>
                <w:ilvl w:val="0"/>
                <w:numId w:val="68"/>
              </w:numPr>
            </w:pPr>
          </w:p>
        </w:tc>
        <w:tc>
          <w:tcPr>
            <w:tcW w:w="8564" w:type="dxa"/>
          </w:tcPr>
          <w:p w14:paraId="75E757EF" w14:textId="24905261" w:rsidR="00120D94" w:rsidRDefault="00120D94" w:rsidP="00AB728A">
            <w:pPr>
              <w:pStyle w:val="LRWLBodyText"/>
              <w:rPr>
                <w:rFonts w:cs="Arial"/>
              </w:rPr>
            </w:pPr>
            <w:r>
              <w:rPr>
                <w:rFonts w:cs="Arial"/>
              </w:rPr>
              <w:t xml:space="preserve">At the request of ETF, the </w:t>
            </w:r>
            <w:r w:rsidR="00A146AC">
              <w:rPr>
                <w:rFonts w:cs="Arial"/>
              </w:rPr>
              <w:t>Contractor</w:t>
            </w:r>
            <w:r>
              <w:rPr>
                <w:rFonts w:cs="Arial"/>
              </w:rPr>
              <w:t xml:space="preserve"> must meet with ETF and the program stakeholders identified in Section 1.2 (Current State and Background) for coordination of programs,</w:t>
            </w:r>
            <w:r w:rsidR="00414C09">
              <w:rPr>
                <w:rFonts w:cs="Arial"/>
              </w:rPr>
              <w:t xml:space="preserve"> data, and benefits, as well as</w:t>
            </w:r>
            <w:r>
              <w:rPr>
                <w:rFonts w:cs="Arial"/>
              </w:rPr>
              <w:t xml:space="preserve"> overall promotion and program evaluation. At a minimum this will include:</w:t>
            </w:r>
          </w:p>
          <w:p w14:paraId="47254FA1" w14:textId="77777777" w:rsidR="00120D94" w:rsidRDefault="00120D94" w:rsidP="00CB52E7">
            <w:pPr>
              <w:pStyle w:val="LRWLBodyText"/>
              <w:numPr>
                <w:ilvl w:val="0"/>
                <w:numId w:val="14"/>
              </w:numPr>
              <w:ind w:left="702"/>
              <w:rPr>
                <w:rFonts w:cs="Arial"/>
              </w:rPr>
            </w:pPr>
            <w:r>
              <w:rPr>
                <w:rFonts w:cs="Arial"/>
              </w:rPr>
              <w:t xml:space="preserve">Quarterly coordination meetings with other vendors of </w:t>
            </w:r>
            <w:r w:rsidRPr="00435511">
              <w:rPr>
                <w:rFonts w:cs="Arial"/>
              </w:rPr>
              <w:t xml:space="preserve"> the </w:t>
            </w:r>
            <w:r>
              <w:rPr>
                <w:rFonts w:cs="Arial"/>
              </w:rPr>
              <w:t>GHIP/WPE programs;</w:t>
            </w:r>
          </w:p>
          <w:p w14:paraId="7D6CAB3A" w14:textId="2249C996" w:rsidR="00120D94" w:rsidRDefault="00120D94" w:rsidP="00CB52E7">
            <w:pPr>
              <w:pStyle w:val="LRWLBodyText"/>
              <w:numPr>
                <w:ilvl w:val="0"/>
                <w:numId w:val="14"/>
              </w:numPr>
              <w:ind w:left="702"/>
              <w:rPr>
                <w:rFonts w:cs="Arial"/>
              </w:rPr>
            </w:pPr>
            <w:r>
              <w:rPr>
                <w:rFonts w:cs="Arial"/>
              </w:rPr>
              <w:t>Quarterly coordination meetings with the employer groups wellness workgroups;</w:t>
            </w:r>
            <w:r w:rsidR="00356CA1">
              <w:rPr>
                <w:rFonts w:cs="Arial"/>
              </w:rPr>
              <w:t xml:space="preserve"> and</w:t>
            </w:r>
            <w:r>
              <w:rPr>
                <w:rFonts w:cs="Arial"/>
              </w:rPr>
              <w:t xml:space="preserve"> </w:t>
            </w:r>
          </w:p>
          <w:p w14:paraId="4CF1C4CF" w14:textId="77777777" w:rsidR="00120D94" w:rsidRDefault="00120D94" w:rsidP="00CB52E7">
            <w:pPr>
              <w:pStyle w:val="LRWLBodyText"/>
              <w:numPr>
                <w:ilvl w:val="0"/>
                <w:numId w:val="14"/>
              </w:numPr>
              <w:ind w:left="702"/>
              <w:rPr>
                <w:rFonts w:cs="Arial"/>
              </w:rPr>
            </w:pPr>
            <w:r>
              <w:rPr>
                <w:rFonts w:cs="Arial"/>
              </w:rPr>
              <w:t>Annual coordination with the vendors or employer group contacts for EAP.</w:t>
            </w:r>
          </w:p>
          <w:p w14:paraId="72181309" w14:textId="77777777" w:rsidR="00120D94" w:rsidRPr="006518F1" w:rsidRDefault="00120D94" w:rsidP="00AB728A">
            <w:pPr>
              <w:pStyle w:val="LRWLBodyText"/>
              <w:rPr>
                <w:rFonts w:cs="Arial"/>
              </w:rPr>
            </w:pPr>
            <w:r>
              <w:rPr>
                <w:rFonts w:cs="Arial"/>
              </w:rPr>
              <w:t>M</w:t>
            </w:r>
            <w:r w:rsidRPr="00FC614A">
              <w:rPr>
                <w:rFonts w:cs="Arial"/>
              </w:rPr>
              <w:t xml:space="preserve">eetings </w:t>
            </w:r>
            <w:r>
              <w:rPr>
                <w:rFonts w:cs="Arial"/>
              </w:rPr>
              <w:t xml:space="preserve">may be in person or </w:t>
            </w:r>
            <w:r w:rsidRPr="00FC614A">
              <w:rPr>
                <w:rFonts w:cs="Arial"/>
              </w:rPr>
              <w:t>by teleconference</w:t>
            </w:r>
            <w:r>
              <w:rPr>
                <w:rFonts w:cs="Arial"/>
              </w:rPr>
              <w:t>/webinar, as determined necessary by ETF</w:t>
            </w:r>
            <w:r w:rsidRPr="00FC614A">
              <w:rPr>
                <w:rFonts w:cs="Arial"/>
              </w:rPr>
              <w:t>.</w:t>
            </w:r>
          </w:p>
        </w:tc>
      </w:tr>
      <w:tr w:rsidR="00120D94" w:rsidRPr="006518F1" w14:paraId="5396590A" w14:textId="77777777" w:rsidTr="00F01E1A">
        <w:tc>
          <w:tcPr>
            <w:tcW w:w="540" w:type="dxa"/>
          </w:tcPr>
          <w:p w14:paraId="173FE1E1" w14:textId="77777777" w:rsidR="00120D94" w:rsidRDefault="00120D94" w:rsidP="00F01E1A">
            <w:pPr>
              <w:pStyle w:val="ListParagraph"/>
              <w:numPr>
                <w:ilvl w:val="0"/>
                <w:numId w:val="68"/>
              </w:numPr>
            </w:pPr>
          </w:p>
        </w:tc>
        <w:tc>
          <w:tcPr>
            <w:tcW w:w="8564" w:type="dxa"/>
          </w:tcPr>
          <w:p w14:paraId="08C92A8A" w14:textId="5BAED426" w:rsidR="00120D94" w:rsidRDefault="00120D94" w:rsidP="00AB728A">
            <w:pPr>
              <w:pStyle w:val="LRWLBodyText"/>
              <w:rPr>
                <w:rFonts w:cs="Arial"/>
              </w:rPr>
            </w:pPr>
            <w:r>
              <w:rPr>
                <w:rFonts w:cs="Arial"/>
              </w:rPr>
              <w:t xml:space="preserve">The </w:t>
            </w:r>
            <w:r w:rsidR="00A146AC">
              <w:rPr>
                <w:rFonts w:cs="Arial"/>
              </w:rPr>
              <w:t>Contractor</w:t>
            </w:r>
            <w:r>
              <w:rPr>
                <w:rFonts w:cs="Arial"/>
              </w:rPr>
              <w:t xml:space="preserve"> must provide program training services to the employer groups of </w:t>
            </w:r>
            <w:r w:rsidRPr="00435511">
              <w:rPr>
                <w:rFonts w:cs="Arial"/>
              </w:rPr>
              <w:t xml:space="preserve">the </w:t>
            </w:r>
            <w:r>
              <w:rPr>
                <w:rFonts w:cs="Arial"/>
              </w:rPr>
              <w:t>GHIP/WPE programs</w:t>
            </w:r>
            <w:r w:rsidR="00414C09">
              <w:rPr>
                <w:rFonts w:cs="Arial"/>
              </w:rPr>
              <w:t xml:space="preserve"> during the Contract term</w:t>
            </w:r>
            <w:r>
              <w:rPr>
                <w:rFonts w:cs="Arial"/>
              </w:rPr>
              <w:t>. At a minimum this will include:</w:t>
            </w:r>
          </w:p>
          <w:p w14:paraId="2871B3A5" w14:textId="77777777" w:rsidR="00120D94" w:rsidRDefault="00120D94" w:rsidP="00CB52E7">
            <w:pPr>
              <w:pStyle w:val="LRWLBodyText"/>
              <w:numPr>
                <w:ilvl w:val="0"/>
                <w:numId w:val="42"/>
              </w:numPr>
              <w:ind w:left="702"/>
              <w:rPr>
                <w:rFonts w:cs="Arial"/>
              </w:rPr>
            </w:pPr>
            <w:r>
              <w:rPr>
                <w:rFonts w:cs="Arial"/>
              </w:rPr>
              <w:t>Onsite attendance at the Annual It’s Your Choice Employer Kick Off Meeting;</w:t>
            </w:r>
          </w:p>
          <w:p w14:paraId="2D058DAB" w14:textId="673A15C4" w:rsidR="00120D94" w:rsidRDefault="00120D94" w:rsidP="00CB52E7">
            <w:pPr>
              <w:pStyle w:val="LRWLBodyText"/>
              <w:numPr>
                <w:ilvl w:val="0"/>
                <w:numId w:val="42"/>
              </w:numPr>
              <w:ind w:left="702"/>
              <w:rPr>
                <w:rFonts w:cs="Arial"/>
              </w:rPr>
            </w:pPr>
            <w:r>
              <w:rPr>
                <w:rFonts w:cs="Arial"/>
              </w:rPr>
              <w:t>Onsite attendance at a minimum of twenty (20) employer hosted benefit fairs</w:t>
            </w:r>
            <w:r w:rsidR="00E703D1">
              <w:rPr>
                <w:rFonts w:cs="Arial"/>
              </w:rPr>
              <w:t xml:space="preserve"> (40 benefit fairs were held in 2015)</w:t>
            </w:r>
            <w:r>
              <w:rPr>
                <w:rFonts w:cs="Arial"/>
              </w:rPr>
              <w:t>; and</w:t>
            </w:r>
          </w:p>
          <w:p w14:paraId="4918B2F6" w14:textId="4A2903F8" w:rsidR="00120D94" w:rsidRPr="0054015B" w:rsidRDefault="00120D94" w:rsidP="00CB52E7">
            <w:pPr>
              <w:pStyle w:val="LRWLBodyText"/>
              <w:numPr>
                <w:ilvl w:val="0"/>
                <w:numId w:val="42"/>
              </w:numPr>
              <w:ind w:left="702"/>
              <w:rPr>
                <w:rFonts w:cs="Arial"/>
              </w:rPr>
            </w:pPr>
            <w:r>
              <w:rPr>
                <w:rFonts w:cs="Arial"/>
              </w:rPr>
              <w:t xml:space="preserve">Trainings, as needed, for </w:t>
            </w:r>
            <w:r w:rsidRPr="00794425">
              <w:rPr>
                <w:rFonts w:cs="Arial"/>
              </w:rPr>
              <w:t xml:space="preserve">employer </w:t>
            </w:r>
            <w:r>
              <w:rPr>
                <w:rFonts w:cs="Arial"/>
              </w:rPr>
              <w:t xml:space="preserve">groups, onsite or </w:t>
            </w:r>
            <w:r w:rsidRPr="00FC614A">
              <w:rPr>
                <w:rFonts w:cs="Arial"/>
              </w:rPr>
              <w:t>by teleconference</w:t>
            </w:r>
            <w:r>
              <w:rPr>
                <w:rFonts w:cs="Arial"/>
              </w:rPr>
              <w:t>/webinar, as determined</w:t>
            </w:r>
            <w:r w:rsidR="0038174C">
              <w:rPr>
                <w:rFonts w:cs="Arial"/>
              </w:rPr>
              <w:t xml:space="preserve"> </w:t>
            </w:r>
            <w:r>
              <w:rPr>
                <w:rFonts w:cs="Arial"/>
              </w:rPr>
              <w:t>by ETF</w:t>
            </w:r>
            <w:r w:rsidRPr="00FC614A">
              <w:rPr>
                <w:rFonts w:cs="Arial"/>
              </w:rPr>
              <w:t>.</w:t>
            </w:r>
            <w:r>
              <w:rPr>
                <w:rFonts w:cs="Arial"/>
              </w:rPr>
              <w:t xml:space="preserve"> </w:t>
            </w:r>
          </w:p>
        </w:tc>
      </w:tr>
      <w:tr w:rsidR="00120D94" w:rsidRPr="006518F1" w14:paraId="273F6389" w14:textId="77777777" w:rsidTr="00F01E1A">
        <w:tc>
          <w:tcPr>
            <w:tcW w:w="540" w:type="dxa"/>
          </w:tcPr>
          <w:p w14:paraId="49E2AE06" w14:textId="77777777" w:rsidR="00120D94" w:rsidRDefault="00120D94" w:rsidP="00F01E1A">
            <w:pPr>
              <w:pStyle w:val="ListParagraph"/>
              <w:numPr>
                <w:ilvl w:val="0"/>
                <w:numId w:val="68"/>
              </w:numPr>
            </w:pPr>
          </w:p>
        </w:tc>
        <w:tc>
          <w:tcPr>
            <w:tcW w:w="8564" w:type="dxa"/>
          </w:tcPr>
          <w:p w14:paraId="183AEA68" w14:textId="3A61EF9F" w:rsidR="00120D94" w:rsidRDefault="00120D94" w:rsidP="00AB728A">
            <w:pPr>
              <w:rPr>
                <w:rFonts w:ascii="Arial" w:hAnsi="Arial" w:cs="Arial"/>
              </w:rPr>
            </w:pPr>
            <w:r w:rsidRPr="00C55B98">
              <w:rPr>
                <w:rFonts w:ascii="Arial" w:hAnsi="Arial" w:cs="Arial"/>
              </w:rPr>
              <w:t xml:space="preserve">The </w:t>
            </w:r>
            <w:r w:rsidR="00A146AC">
              <w:rPr>
                <w:rFonts w:ascii="Arial" w:hAnsi="Arial" w:cs="Arial"/>
              </w:rPr>
              <w:t>Contractor</w:t>
            </w:r>
            <w:r>
              <w:rPr>
                <w:rFonts w:ascii="Arial" w:hAnsi="Arial" w:cs="Arial"/>
              </w:rPr>
              <w:t xml:space="preserve"> must not</w:t>
            </w:r>
            <w:r w:rsidRPr="00C55B98">
              <w:rPr>
                <w:rFonts w:ascii="Arial" w:hAnsi="Arial" w:cs="Arial"/>
              </w:rPr>
              <w:t xml:space="preserve"> modify </w:t>
            </w:r>
            <w:r>
              <w:rPr>
                <w:rFonts w:ascii="Arial" w:hAnsi="Arial" w:cs="Arial"/>
              </w:rPr>
              <w:t xml:space="preserve">any of </w:t>
            </w:r>
            <w:r w:rsidRPr="00C55B98">
              <w:rPr>
                <w:rFonts w:ascii="Arial" w:hAnsi="Arial" w:cs="Arial"/>
              </w:rPr>
              <w:t>the services</w:t>
            </w:r>
            <w:r>
              <w:rPr>
                <w:rFonts w:ascii="Arial" w:hAnsi="Arial" w:cs="Arial"/>
              </w:rPr>
              <w:t xml:space="preserve"> or program content provided as part of this RFP </w:t>
            </w:r>
            <w:r w:rsidRPr="00C55B98">
              <w:rPr>
                <w:rFonts w:ascii="Arial" w:hAnsi="Arial" w:cs="Arial"/>
              </w:rPr>
              <w:t>without prior</w:t>
            </w:r>
            <w:r>
              <w:rPr>
                <w:rFonts w:ascii="Arial" w:hAnsi="Arial" w:cs="Arial"/>
              </w:rPr>
              <w:t xml:space="preserve"> written approval by the ETF Program Manager</w:t>
            </w:r>
            <w:r w:rsidRPr="00C55B98">
              <w:rPr>
                <w:rFonts w:ascii="Arial" w:hAnsi="Arial" w:cs="Arial"/>
              </w:rPr>
              <w:t>.</w:t>
            </w:r>
          </w:p>
        </w:tc>
      </w:tr>
    </w:tbl>
    <w:p w14:paraId="6E77EFBD" w14:textId="77777777" w:rsidR="004B2116" w:rsidRDefault="004B2116" w:rsidP="00644C74">
      <w:pPr>
        <w:pStyle w:val="Heading2"/>
        <w:ind w:hanging="1926"/>
      </w:pPr>
      <w:r>
        <w:t>Well Wisconsin Program Administration</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4B2116" w:rsidRPr="006518F1" w14:paraId="3048F142" w14:textId="77777777" w:rsidTr="004B2116">
        <w:tc>
          <w:tcPr>
            <w:tcW w:w="535" w:type="dxa"/>
          </w:tcPr>
          <w:p w14:paraId="04BB1CE4" w14:textId="77777777" w:rsidR="004B2116" w:rsidRDefault="004B2116" w:rsidP="00F01E1A">
            <w:pPr>
              <w:pStyle w:val="ListParagraph"/>
              <w:numPr>
                <w:ilvl w:val="0"/>
                <w:numId w:val="19"/>
              </w:numPr>
            </w:pPr>
          </w:p>
        </w:tc>
        <w:tc>
          <w:tcPr>
            <w:tcW w:w="8815" w:type="dxa"/>
          </w:tcPr>
          <w:p w14:paraId="1950152C" w14:textId="5A32846C" w:rsidR="004B2116" w:rsidRPr="006518F1" w:rsidRDefault="004B2116" w:rsidP="004939CB">
            <w:pPr>
              <w:rPr>
                <w:rFonts w:ascii="Arial" w:hAnsi="Arial" w:cs="Arial"/>
              </w:rPr>
            </w:pPr>
            <w:r>
              <w:rPr>
                <w:rFonts w:ascii="Arial" w:hAnsi="Arial" w:cs="Arial"/>
              </w:rPr>
              <w:t xml:space="preserve">The </w:t>
            </w:r>
            <w:r w:rsidR="00A146AC">
              <w:rPr>
                <w:rFonts w:ascii="Arial" w:hAnsi="Arial" w:cs="Arial"/>
              </w:rPr>
              <w:t>Contractor</w:t>
            </w:r>
            <w:r w:rsidRPr="006518F1">
              <w:rPr>
                <w:rFonts w:ascii="Arial" w:hAnsi="Arial" w:cs="Arial"/>
              </w:rPr>
              <w:t xml:space="preserve"> must administer all aspects of the current</w:t>
            </w:r>
            <w:r w:rsidR="004939CB">
              <w:rPr>
                <w:rFonts w:ascii="Arial" w:hAnsi="Arial" w:cs="Arial"/>
              </w:rPr>
              <w:t>,</w:t>
            </w:r>
            <w:r w:rsidRPr="006518F1">
              <w:rPr>
                <w:rFonts w:ascii="Arial" w:hAnsi="Arial" w:cs="Arial"/>
              </w:rPr>
              <w:t xml:space="preserve"> </w:t>
            </w:r>
            <w:r w:rsidR="004939CB">
              <w:rPr>
                <w:rFonts w:ascii="Arial" w:hAnsi="Arial" w:cs="Arial"/>
              </w:rPr>
              <w:t xml:space="preserve">and future enhancements to, the </w:t>
            </w:r>
            <w:r w:rsidRPr="006518F1">
              <w:rPr>
                <w:rFonts w:ascii="Arial" w:hAnsi="Arial" w:cs="Arial"/>
              </w:rPr>
              <w:t>Well Wisconsin</w:t>
            </w:r>
            <w:r>
              <w:rPr>
                <w:rFonts w:ascii="Arial" w:hAnsi="Arial" w:cs="Arial"/>
              </w:rPr>
              <w:t xml:space="preserve"> program</w:t>
            </w:r>
            <w:r w:rsidRPr="006518F1">
              <w:rPr>
                <w:rFonts w:ascii="Arial" w:hAnsi="Arial" w:cs="Arial"/>
              </w:rPr>
              <w:t xml:space="preserve">. This includes: </w:t>
            </w:r>
            <w:r>
              <w:rPr>
                <w:rFonts w:ascii="Arial" w:hAnsi="Arial" w:cs="Arial"/>
              </w:rPr>
              <w:t xml:space="preserve">providing </w:t>
            </w:r>
            <w:r w:rsidRPr="006518F1">
              <w:rPr>
                <w:rFonts w:ascii="Arial" w:hAnsi="Arial" w:cs="Arial"/>
              </w:rPr>
              <w:t>biometric screening</w:t>
            </w:r>
            <w:r>
              <w:rPr>
                <w:rFonts w:ascii="Arial" w:hAnsi="Arial" w:cs="Arial"/>
              </w:rPr>
              <w:t>s</w:t>
            </w:r>
            <w:r w:rsidRPr="006518F1">
              <w:rPr>
                <w:rFonts w:ascii="Arial" w:hAnsi="Arial" w:cs="Arial"/>
              </w:rPr>
              <w:t xml:space="preserve">, </w:t>
            </w:r>
            <w:r>
              <w:rPr>
                <w:rFonts w:ascii="Arial" w:hAnsi="Arial" w:cs="Arial"/>
              </w:rPr>
              <w:t xml:space="preserve">providing a </w:t>
            </w:r>
            <w:r w:rsidRPr="006518F1">
              <w:rPr>
                <w:rFonts w:ascii="Arial" w:hAnsi="Arial" w:cs="Arial"/>
              </w:rPr>
              <w:lastRenderedPageBreak/>
              <w:t xml:space="preserve">health risk assessment, tracking </w:t>
            </w:r>
            <w:r>
              <w:rPr>
                <w:rFonts w:ascii="Arial" w:hAnsi="Arial" w:cs="Arial"/>
              </w:rPr>
              <w:t xml:space="preserve">of </w:t>
            </w:r>
            <w:r w:rsidRPr="006518F1">
              <w:rPr>
                <w:rFonts w:ascii="Arial" w:hAnsi="Arial" w:cs="Arial"/>
              </w:rPr>
              <w:t>program requirements, issu</w:t>
            </w:r>
            <w:r>
              <w:rPr>
                <w:rFonts w:ascii="Arial" w:hAnsi="Arial" w:cs="Arial"/>
              </w:rPr>
              <w:t>ance of t</w:t>
            </w:r>
            <w:r w:rsidRPr="006518F1">
              <w:rPr>
                <w:rFonts w:ascii="Arial" w:hAnsi="Arial" w:cs="Arial"/>
              </w:rPr>
              <w:t xml:space="preserve">he </w:t>
            </w:r>
            <w:r w:rsidR="00981318">
              <w:rPr>
                <w:rFonts w:ascii="Arial" w:hAnsi="Arial" w:cs="Arial"/>
              </w:rPr>
              <w:t>cash</w:t>
            </w:r>
            <w:r w:rsidRPr="006518F1">
              <w:rPr>
                <w:rFonts w:ascii="Arial" w:hAnsi="Arial" w:cs="Arial"/>
              </w:rPr>
              <w:t xml:space="preserve"> incentive, progr</w:t>
            </w:r>
            <w:r>
              <w:rPr>
                <w:rFonts w:ascii="Arial" w:hAnsi="Arial" w:cs="Arial"/>
              </w:rPr>
              <w:t xml:space="preserve">am promotion and education, </w:t>
            </w:r>
            <w:r w:rsidR="004939CB">
              <w:rPr>
                <w:rFonts w:ascii="Arial" w:hAnsi="Arial" w:cs="Arial"/>
              </w:rPr>
              <w:t xml:space="preserve">coordination with health plans, </w:t>
            </w:r>
            <w:r>
              <w:rPr>
                <w:rFonts w:ascii="Arial" w:hAnsi="Arial" w:cs="Arial"/>
              </w:rPr>
              <w:t xml:space="preserve">and required reporting </w:t>
            </w:r>
            <w:r w:rsidRPr="006518F1">
              <w:rPr>
                <w:rFonts w:ascii="Arial" w:hAnsi="Arial" w:cs="Arial"/>
              </w:rPr>
              <w:t xml:space="preserve">to </w:t>
            </w:r>
            <w:r>
              <w:rPr>
                <w:rFonts w:ascii="Arial" w:hAnsi="Arial" w:cs="Arial"/>
              </w:rPr>
              <w:t>ETF and employer groups.</w:t>
            </w:r>
          </w:p>
        </w:tc>
      </w:tr>
      <w:tr w:rsidR="004B2116" w:rsidRPr="006518F1" w14:paraId="00AC16F6" w14:textId="77777777" w:rsidTr="004B2116">
        <w:trPr>
          <w:trHeight w:val="225"/>
        </w:trPr>
        <w:tc>
          <w:tcPr>
            <w:tcW w:w="535" w:type="dxa"/>
          </w:tcPr>
          <w:p w14:paraId="795C3442" w14:textId="77777777" w:rsidR="004B2116" w:rsidRDefault="004B2116" w:rsidP="00F01E1A">
            <w:pPr>
              <w:pStyle w:val="ListParagraph"/>
              <w:numPr>
                <w:ilvl w:val="0"/>
                <w:numId w:val="19"/>
              </w:numPr>
            </w:pPr>
          </w:p>
        </w:tc>
        <w:tc>
          <w:tcPr>
            <w:tcW w:w="8815" w:type="dxa"/>
          </w:tcPr>
          <w:p w14:paraId="614DCC86" w14:textId="156D6344" w:rsidR="004B2116" w:rsidRPr="006518F1" w:rsidRDefault="004B2116" w:rsidP="00E46012">
            <w:pPr>
              <w:rPr>
                <w:rFonts w:ascii="Arial" w:hAnsi="Arial" w:cs="Arial"/>
              </w:rPr>
            </w:pPr>
            <w:r>
              <w:rPr>
                <w:rFonts w:ascii="Arial" w:hAnsi="Arial" w:cs="Arial"/>
              </w:rPr>
              <w:t xml:space="preserve">The </w:t>
            </w:r>
            <w:r w:rsidR="00A146AC">
              <w:rPr>
                <w:rFonts w:ascii="Arial" w:hAnsi="Arial" w:cs="Arial"/>
              </w:rPr>
              <w:t>Contractor</w:t>
            </w:r>
            <w:r w:rsidRPr="006518F1">
              <w:rPr>
                <w:rFonts w:ascii="Arial" w:hAnsi="Arial" w:cs="Arial"/>
              </w:rPr>
              <w:t xml:space="preserve"> must be able to administer a program that may have different eligibility based on </w:t>
            </w:r>
            <w:r w:rsidR="00E46012">
              <w:rPr>
                <w:rFonts w:ascii="Arial" w:hAnsi="Arial" w:cs="Arial"/>
              </w:rPr>
              <w:t>Member</w:t>
            </w:r>
            <w:r w:rsidR="00E46012" w:rsidRPr="006518F1">
              <w:rPr>
                <w:rFonts w:ascii="Arial" w:hAnsi="Arial" w:cs="Arial"/>
              </w:rPr>
              <w:t xml:space="preserve">’s </w:t>
            </w:r>
            <w:r w:rsidRPr="006518F1">
              <w:rPr>
                <w:rFonts w:ascii="Arial" w:hAnsi="Arial" w:cs="Arial"/>
              </w:rPr>
              <w:t>enrollment information</w:t>
            </w:r>
            <w:r w:rsidR="00AB7627">
              <w:rPr>
                <w:rFonts w:ascii="Arial" w:hAnsi="Arial" w:cs="Arial"/>
              </w:rPr>
              <w:t>, such as excluding Enrollees of a Medicare Advantage Plan from receiving incentives</w:t>
            </w:r>
            <w:r w:rsidRPr="006518F1">
              <w:rPr>
                <w:rFonts w:ascii="Arial" w:hAnsi="Arial" w:cs="Arial"/>
              </w:rPr>
              <w:t>.</w:t>
            </w:r>
            <w:r w:rsidR="00AB7627">
              <w:rPr>
                <w:rFonts w:ascii="Arial" w:hAnsi="Arial" w:cs="Arial"/>
              </w:rPr>
              <w:t xml:space="preserve"> </w:t>
            </w:r>
          </w:p>
        </w:tc>
      </w:tr>
      <w:tr w:rsidR="004B2116" w:rsidRPr="006518F1" w14:paraId="4CDC6552" w14:textId="77777777" w:rsidTr="004B2116">
        <w:trPr>
          <w:trHeight w:val="225"/>
        </w:trPr>
        <w:tc>
          <w:tcPr>
            <w:tcW w:w="535" w:type="dxa"/>
          </w:tcPr>
          <w:p w14:paraId="64F98C85" w14:textId="77777777" w:rsidR="004B2116" w:rsidRDefault="004B2116" w:rsidP="00F01E1A">
            <w:pPr>
              <w:pStyle w:val="ListParagraph"/>
              <w:numPr>
                <w:ilvl w:val="0"/>
                <w:numId w:val="19"/>
              </w:numPr>
            </w:pPr>
          </w:p>
        </w:tc>
        <w:tc>
          <w:tcPr>
            <w:tcW w:w="8815" w:type="dxa"/>
          </w:tcPr>
          <w:p w14:paraId="5490AA26" w14:textId="6CC408F2" w:rsidR="004B2116" w:rsidRPr="006518F1" w:rsidRDefault="004B2116" w:rsidP="007F08D9">
            <w:pPr>
              <w:rPr>
                <w:rFonts w:ascii="Arial" w:hAnsi="Arial" w:cs="Arial"/>
              </w:rPr>
            </w:pPr>
            <w:r>
              <w:rPr>
                <w:rFonts w:ascii="Arial" w:hAnsi="Arial" w:cs="Arial"/>
              </w:rPr>
              <w:t xml:space="preserve">The </w:t>
            </w:r>
            <w:r w:rsidR="00A146AC">
              <w:rPr>
                <w:rFonts w:ascii="Arial" w:hAnsi="Arial" w:cs="Arial"/>
              </w:rPr>
              <w:t>Contractor</w:t>
            </w:r>
            <w:r w:rsidRPr="006518F1">
              <w:rPr>
                <w:rFonts w:ascii="Arial" w:hAnsi="Arial" w:cs="Arial"/>
              </w:rPr>
              <w:t xml:space="preserve"> must </w:t>
            </w:r>
            <w:r w:rsidR="007F08D9">
              <w:rPr>
                <w:rFonts w:ascii="Arial" w:hAnsi="Arial" w:cs="Arial"/>
              </w:rPr>
              <w:t>pro</w:t>
            </w:r>
            <w:r w:rsidRPr="006518F1">
              <w:rPr>
                <w:rFonts w:ascii="Arial" w:hAnsi="Arial" w:cs="Arial"/>
              </w:rPr>
              <w:t xml:space="preserve">vide a </w:t>
            </w:r>
            <w:r w:rsidR="00FA5B88">
              <w:rPr>
                <w:rFonts w:ascii="Arial" w:hAnsi="Arial" w:cs="Arial"/>
              </w:rPr>
              <w:t xml:space="preserve">dynamic </w:t>
            </w:r>
            <w:r w:rsidRPr="006518F1">
              <w:rPr>
                <w:rFonts w:ascii="Arial" w:hAnsi="Arial" w:cs="Arial"/>
              </w:rPr>
              <w:t xml:space="preserve">scorecard or points based system to Participants that </w:t>
            </w:r>
            <w:r>
              <w:rPr>
                <w:rFonts w:ascii="Arial" w:hAnsi="Arial" w:cs="Arial"/>
              </w:rPr>
              <w:t xml:space="preserve">clearly </w:t>
            </w:r>
            <w:r w:rsidRPr="006518F1">
              <w:rPr>
                <w:rFonts w:ascii="Arial" w:hAnsi="Arial" w:cs="Arial"/>
              </w:rPr>
              <w:t xml:space="preserve">summarizes the program requirement options and completion status. </w:t>
            </w:r>
            <w:r>
              <w:rPr>
                <w:rFonts w:ascii="Arial" w:hAnsi="Arial" w:cs="Arial"/>
              </w:rPr>
              <w:t xml:space="preserve">The </w:t>
            </w:r>
            <w:r w:rsidR="00A146AC">
              <w:rPr>
                <w:rFonts w:ascii="Arial" w:hAnsi="Arial" w:cs="Arial"/>
              </w:rPr>
              <w:t>Contractor</w:t>
            </w:r>
            <w:r w:rsidRPr="006518F1">
              <w:rPr>
                <w:rFonts w:ascii="Arial" w:hAnsi="Arial" w:cs="Arial"/>
              </w:rPr>
              <w:t xml:space="preserve"> will make annual updates to the system content based on expansion of the program</w:t>
            </w:r>
            <w:r w:rsidR="002D3909">
              <w:rPr>
                <w:rFonts w:ascii="Arial" w:hAnsi="Arial" w:cs="Arial"/>
              </w:rPr>
              <w:t xml:space="preserve"> and as needed to keep the content engaging</w:t>
            </w:r>
            <w:r w:rsidRPr="006518F1">
              <w:rPr>
                <w:rFonts w:ascii="Arial" w:hAnsi="Arial" w:cs="Arial"/>
              </w:rPr>
              <w:t>.</w:t>
            </w:r>
            <w:r>
              <w:rPr>
                <w:rFonts w:ascii="Arial" w:hAnsi="Arial" w:cs="Arial"/>
              </w:rPr>
              <w:t xml:space="preserve"> </w:t>
            </w:r>
          </w:p>
        </w:tc>
      </w:tr>
      <w:tr w:rsidR="004B2116" w:rsidRPr="006518F1" w14:paraId="6CC2DE2A" w14:textId="77777777" w:rsidTr="004B2116">
        <w:trPr>
          <w:trHeight w:val="225"/>
        </w:trPr>
        <w:tc>
          <w:tcPr>
            <w:tcW w:w="535" w:type="dxa"/>
          </w:tcPr>
          <w:p w14:paraId="3116EE02" w14:textId="77777777" w:rsidR="004B2116" w:rsidRDefault="004B2116" w:rsidP="00F01E1A">
            <w:pPr>
              <w:pStyle w:val="ListParagraph"/>
              <w:numPr>
                <w:ilvl w:val="0"/>
                <w:numId w:val="19"/>
              </w:numPr>
            </w:pPr>
          </w:p>
        </w:tc>
        <w:tc>
          <w:tcPr>
            <w:tcW w:w="8815" w:type="dxa"/>
          </w:tcPr>
          <w:p w14:paraId="57B59931" w14:textId="568C349D" w:rsidR="004B2116" w:rsidRPr="006518F1" w:rsidRDefault="004B2116" w:rsidP="00CC3E22">
            <w:pPr>
              <w:rPr>
                <w:rFonts w:ascii="Arial" w:hAnsi="Arial" w:cs="Arial"/>
              </w:rPr>
            </w:pPr>
            <w:r>
              <w:rPr>
                <w:rFonts w:ascii="Arial" w:hAnsi="Arial" w:cs="Arial"/>
              </w:rPr>
              <w:t>At ETF</w:t>
            </w:r>
            <w:r w:rsidRPr="002E3FCD">
              <w:rPr>
                <w:rFonts w:ascii="Arial" w:hAnsi="Arial" w:cs="Arial"/>
              </w:rPr>
              <w:t>’s request</w:t>
            </w:r>
            <w:r w:rsidR="0038174C">
              <w:rPr>
                <w:rFonts w:ascii="Arial" w:hAnsi="Arial" w:cs="Arial"/>
              </w:rPr>
              <w:t>,</w:t>
            </w:r>
            <w:r w:rsidRPr="002E3FCD">
              <w:rPr>
                <w:rFonts w:ascii="Arial" w:hAnsi="Arial" w:cs="Arial"/>
              </w:rPr>
              <w:t xml:space="preserve"> the </w:t>
            </w:r>
            <w:r w:rsidR="00A146AC">
              <w:rPr>
                <w:rFonts w:ascii="Arial" w:hAnsi="Arial" w:cs="Arial"/>
              </w:rPr>
              <w:t>Contractor</w:t>
            </w:r>
            <w:r>
              <w:rPr>
                <w:rFonts w:ascii="Arial" w:hAnsi="Arial" w:cs="Arial"/>
              </w:rPr>
              <w:t xml:space="preserve"> must</w:t>
            </w:r>
            <w:r w:rsidRPr="002E3FCD">
              <w:rPr>
                <w:rFonts w:ascii="Arial" w:hAnsi="Arial" w:cs="Arial"/>
              </w:rPr>
              <w:t xml:space="preserve"> submit to </w:t>
            </w:r>
            <w:r>
              <w:rPr>
                <w:rFonts w:ascii="Arial" w:hAnsi="Arial" w:cs="Arial"/>
              </w:rPr>
              <w:t>ETF</w:t>
            </w:r>
            <w:r w:rsidR="00114826">
              <w:rPr>
                <w:rFonts w:ascii="Arial" w:hAnsi="Arial" w:cs="Arial"/>
              </w:rPr>
              <w:t>,</w:t>
            </w:r>
            <w:r>
              <w:rPr>
                <w:rFonts w:ascii="Arial" w:hAnsi="Arial" w:cs="Arial"/>
              </w:rPr>
              <w:t xml:space="preserve"> </w:t>
            </w:r>
            <w:r w:rsidRPr="002E3FCD">
              <w:rPr>
                <w:rFonts w:ascii="Arial" w:hAnsi="Arial" w:cs="Arial"/>
              </w:rPr>
              <w:t>for</w:t>
            </w:r>
            <w:r w:rsidR="0038174C">
              <w:rPr>
                <w:rFonts w:ascii="Arial" w:hAnsi="Arial" w:cs="Arial"/>
              </w:rPr>
              <w:t xml:space="preserve"> </w:t>
            </w:r>
            <w:r w:rsidRPr="002E3FCD">
              <w:rPr>
                <w:rFonts w:ascii="Arial" w:hAnsi="Arial" w:cs="Arial"/>
              </w:rPr>
              <w:t>approval</w:t>
            </w:r>
            <w:r w:rsidR="00F60143">
              <w:rPr>
                <w:rFonts w:ascii="Arial" w:hAnsi="Arial" w:cs="Arial"/>
              </w:rPr>
              <w:t xml:space="preserve">, the </w:t>
            </w:r>
            <w:r w:rsidR="00A146AC">
              <w:rPr>
                <w:rFonts w:ascii="Arial" w:hAnsi="Arial" w:cs="Arial"/>
              </w:rPr>
              <w:t>Contractor</w:t>
            </w:r>
            <w:r w:rsidR="00F60143">
              <w:rPr>
                <w:rFonts w:ascii="Arial" w:hAnsi="Arial" w:cs="Arial"/>
              </w:rPr>
              <w:t>’s</w:t>
            </w:r>
            <w:r>
              <w:rPr>
                <w:rFonts w:ascii="Arial" w:hAnsi="Arial" w:cs="Arial"/>
              </w:rPr>
              <w:t xml:space="preserve"> </w:t>
            </w:r>
            <w:r w:rsidRPr="002E3FCD">
              <w:rPr>
                <w:rFonts w:ascii="Arial" w:hAnsi="Arial" w:cs="Arial"/>
              </w:rPr>
              <w:t>methodology for developing the wellness score and determining wellness/risk categories,</w:t>
            </w:r>
            <w:r w:rsidR="0036209D">
              <w:rPr>
                <w:rFonts w:ascii="Arial" w:hAnsi="Arial" w:cs="Arial"/>
              </w:rPr>
              <w:t xml:space="preserve"> for individual Participants</w:t>
            </w:r>
            <w:r>
              <w:rPr>
                <w:rFonts w:ascii="Arial" w:hAnsi="Arial" w:cs="Arial"/>
              </w:rPr>
              <w:t xml:space="preserve"> </w:t>
            </w:r>
            <w:r w:rsidRPr="002E3FCD">
              <w:rPr>
                <w:rFonts w:ascii="Arial" w:hAnsi="Arial" w:cs="Arial"/>
              </w:rPr>
              <w:t>including but not limited to</w:t>
            </w:r>
            <w:r w:rsidR="00114826">
              <w:rPr>
                <w:rFonts w:ascii="Arial" w:hAnsi="Arial" w:cs="Arial"/>
              </w:rPr>
              <w:t>:</w:t>
            </w:r>
            <w:r w:rsidRPr="002E3FCD">
              <w:rPr>
                <w:rFonts w:ascii="Arial" w:hAnsi="Arial" w:cs="Arial"/>
              </w:rPr>
              <w:t xml:space="preserve"> the factors used in the scoring, how those factors are weighted, the wellness/risk categories, the threshold for those categories, and the</w:t>
            </w:r>
            <w:r>
              <w:rPr>
                <w:rFonts w:ascii="Arial" w:hAnsi="Arial" w:cs="Arial"/>
              </w:rPr>
              <w:t xml:space="preserve"> </w:t>
            </w:r>
            <w:r w:rsidRPr="002E3FCD">
              <w:rPr>
                <w:rFonts w:ascii="Arial" w:hAnsi="Arial" w:cs="Arial"/>
              </w:rPr>
              <w:t xml:space="preserve">threshold for each program/type of intervention. </w:t>
            </w:r>
            <w:r w:rsidR="007471E2">
              <w:rPr>
                <w:rFonts w:ascii="Arial" w:hAnsi="Arial" w:cs="Arial"/>
              </w:rPr>
              <w:t xml:space="preserve">The </w:t>
            </w:r>
            <w:r w:rsidR="00A146AC">
              <w:rPr>
                <w:rFonts w:ascii="Arial" w:hAnsi="Arial" w:cs="Arial"/>
              </w:rPr>
              <w:t>Contractor</w:t>
            </w:r>
            <w:r w:rsidR="007471E2">
              <w:rPr>
                <w:rFonts w:ascii="Arial" w:hAnsi="Arial" w:cs="Arial"/>
              </w:rPr>
              <w:t xml:space="preserve"> must identify how special populations or medical conditions, such as pregnancy, are addressed in the methodology</w:t>
            </w:r>
            <w:r w:rsidR="00AB7627">
              <w:rPr>
                <w:rFonts w:ascii="Arial" w:hAnsi="Arial" w:cs="Arial"/>
              </w:rPr>
              <w:t>.</w:t>
            </w:r>
            <w:r w:rsidR="007471E2">
              <w:rPr>
                <w:rFonts w:ascii="Arial" w:hAnsi="Arial" w:cs="Arial"/>
              </w:rPr>
              <w:t xml:space="preserve"> </w:t>
            </w:r>
            <w:r>
              <w:rPr>
                <w:rFonts w:ascii="Arial" w:hAnsi="Arial" w:cs="Arial"/>
              </w:rPr>
              <w:t>ETF</w:t>
            </w:r>
            <w:r w:rsidRPr="002E3FCD">
              <w:rPr>
                <w:rFonts w:ascii="Arial" w:hAnsi="Arial" w:cs="Arial"/>
              </w:rPr>
              <w:t xml:space="preserve"> reserves the right to review the</w:t>
            </w:r>
            <w:r>
              <w:rPr>
                <w:rFonts w:ascii="Arial" w:hAnsi="Arial" w:cs="Arial"/>
              </w:rPr>
              <w:t xml:space="preserve"> </w:t>
            </w:r>
            <w:r w:rsidRPr="002E3FCD">
              <w:rPr>
                <w:rFonts w:ascii="Arial" w:hAnsi="Arial" w:cs="Arial"/>
              </w:rPr>
              <w:t xml:space="preserve">methodology and require changes. Any changes to this methodology by the </w:t>
            </w:r>
            <w:r w:rsidR="00A146AC">
              <w:rPr>
                <w:rFonts w:ascii="Arial" w:hAnsi="Arial" w:cs="Arial"/>
              </w:rPr>
              <w:t>Contractor</w:t>
            </w:r>
            <w:r>
              <w:rPr>
                <w:rFonts w:ascii="Arial" w:hAnsi="Arial" w:cs="Arial"/>
              </w:rPr>
              <w:t xml:space="preserve"> must </w:t>
            </w:r>
            <w:r w:rsidR="00F60143">
              <w:rPr>
                <w:rFonts w:ascii="Arial" w:hAnsi="Arial" w:cs="Arial"/>
              </w:rPr>
              <w:t>receive</w:t>
            </w:r>
            <w:r w:rsidRPr="002E3FCD">
              <w:rPr>
                <w:rFonts w:ascii="Arial" w:hAnsi="Arial" w:cs="Arial"/>
              </w:rPr>
              <w:t xml:space="preserve"> prior </w:t>
            </w:r>
            <w:r w:rsidR="00AB7627">
              <w:rPr>
                <w:rFonts w:ascii="Arial" w:hAnsi="Arial" w:cs="Arial"/>
              </w:rPr>
              <w:t xml:space="preserve">written </w:t>
            </w:r>
            <w:r w:rsidRPr="002E3FCD">
              <w:rPr>
                <w:rFonts w:ascii="Arial" w:hAnsi="Arial" w:cs="Arial"/>
              </w:rPr>
              <w:t>approv</w:t>
            </w:r>
            <w:r w:rsidR="00F60143">
              <w:rPr>
                <w:rFonts w:ascii="Arial" w:hAnsi="Arial" w:cs="Arial"/>
              </w:rPr>
              <w:t>al</w:t>
            </w:r>
            <w:r w:rsidRPr="002E3FCD">
              <w:rPr>
                <w:rFonts w:ascii="Arial" w:hAnsi="Arial" w:cs="Arial"/>
              </w:rPr>
              <w:t xml:space="preserve"> </w:t>
            </w:r>
            <w:r w:rsidR="00F60143">
              <w:rPr>
                <w:rFonts w:ascii="Arial" w:hAnsi="Arial" w:cs="Arial"/>
              </w:rPr>
              <w:t>from</w:t>
            </w:r>
            <w:r>
              <w:rPr>
                <w:rFonts w:ascii="Arial" w:hAnsi="Arial" w:cs="Arial"/>
              </w:rPr>
              <w:t xml:space="preserve"> </w:t>
            </w:r>
            <w:r w:rsidR="00AB7627">
              <w:rPr>
                <w:rFonts w:ascii="Arial" w:hAnsi="Arial" w:cs="Arial"/>
              </w:rPr>
              <w:t xml:space="preserve">the </w:t>
            </w:r>
            <w:r>
              <w:rPr>
                <w:rFonts w:ascii="Arial" w:hAnsi="Arial" w:cs="Arial"/>
              </w:rPr>
              <w:t>ETF</w:t>
            </w:r>
            <w:r w:rsidR="00AB7627">
              <w:rPr>
                <w:rFonts w:ascii="Arial" w:hAnsi="Arial" w:cs="Arial"/>
              </w:rPr>
              <w:t xml:space="preserve"> Program Manager</w:t>
            </w:r>
            <w:r w:rsidRPr="002E3FCD">
              <w:rPr>
                <w:rFonts w:ascii="Arial" w:hAnsi="Arial" w:cs="Arial"/>
              </w:rPr>
              <w:t>.</w:t>
            </w:r>
          </w:p>
        </w:tc>
      </w:tr>
      <w:tr w:rsidR="004B2116" w:rsidRPr="006518F1" w14:paraId="15F19C7A" w14:textId="77777777" w:rsidTr="004B2116">
        <w:trPr>
          <w:trHeight w:val="225"/>
        </w:trPr>
        <w:tc>
          <w:tcPr>
            <w:tcW w:w="535" w:type="dxa"/>
          </w:tcPr>
          <w:p w14:paraId="0AD1EAA5" w14:textId="77777777" w:rsidR="004B2116" w:rsidRDefault="004B2116" w:rsidP="00F01E1A">
            <w:pPr>
              <w:pStyle w:val="ListParagraph"/>
              <w:numPr>
                <w:ilvl w:val="0"/>
                <w:numId w:val="19"/>
              </w:numPr>
            </w:pPr>
          </w:p>
        </w:tc>
        <w:tc>
          <w:tcPr>
            <w:tcW w:w="8815" w:type="dxa"/>
          </w:tcPr>
          <w:p w14:paraId="3223794F" w14:textId="2085D197" w:rsidR="004B2116" w:rsidRPr="006518F1" w:rsidRDefault="004B2116" w:rsidP="00E46012">
            <w:pPr>
              <w:rPr>
                <w:rFonts w:ascii="Arial" w:hAnsi="Arial" w:cs="Arial"/>
              </w:rPr>
            </w:pPr>
            <w:r>
              <w:rPr>
                <w:rFonts w:ascii="Arial" w:hAnsi="Arial" w:cs="Arial"/>
              </w:rPr>
              <w:t xml:space="preserve">The </w:t>
            </w:r>
            <w:r w:rsidR="00A146AC">
              <w:rPr>
                <w:rFonts w:ascii="Arial" w:hAnsi="Arial" w:cs="Arial"/>
              </w:rPr>
              <w:t>Contractor</w:t>
            </w:r>
            <w:r w:rsidRPr="006518F1">
              <w:rPr>
                <w:rFonts w:ascii="Arial" w:hAnsi="Arial" w:cs="Arial"/>
              </w:rPr>
              <w:t xml:space="preserve"> must be able to accept </w:t>
            </w:r>
            <w:r>
              <w:rPr>
                <w:rFonts w:ascii="Arial" w:hAnsi="Arial" w:cs="Arial"/>
              </w:rPr>
              <w:t xml:space="preserve">any required </w:t>
            </w:r>
            <w:r w:rsidR="00E46012">
              <w:rPr>
                <w:rFonts w:ascii="Arial" w:hAnsi="Arial" w:cs="Arial"/>
              </w:rPr>
              <w:t>Member</w:t>
            </w:r>
            <w:r w:rsidR="00E46012" w:rsidRPr="006518F1">
              <w:rPr>
                <w:rFonts w:ascii="Arial" w:hAnsi="Arial" w:cs="Arial"/>
              </w:rPr>
              <w:t xml:space="preserve"> </w:t>
            </w:r>
            <w:r w:rsidR="002D3909">
              <w:rPr>
                <w:rFonts w:ascii="Arial" w:hAnsi="Arial" w:cs="Arial"/>
              </w:rPr>
              <w:t>submission by web</w:t>
            </w:r>
            <w:r w:rsidR="00AB7627">
              <w:rPr>
                <w:rFonts w:ascii="Arial" w:hAnsi="Arial" w:cs="Arial"/>
              </w:rPr>
              <w:t>, email</w:t>
            </w:r>
            <w:r w:rsidR="00F771B5">
              <w:rPr>
                <w:rFonts w:ascii="Arial" w:hAnsi="Arial" w:cs="Arial"/>
              </w:rPr>
              <w:t xml:space="preserve"> and </w:t>
            </w:r>
            <w:r w:rsidR="00255B0F">
              <w:rPr>
                <w:rFonts w:ascii="Arial" w:hAnsi="Arial" w:cs="Arial"/>
              </w:rPr>
              <w:t>USPS</w:t>
            </w:r>
            <w:r>
              <w:rPr>
                <w:rFonts w:ascii="Arial" w:hAnsi="Arial" w:cs="Arial"/>
              </w:rPr>
              <w:t xml:space="preserve">. </w:t>
            </w:r>
          </w:p>
        </w:tc>
      </w:tr>
      <w:tr w:rsidR="004B2116" w:rsidRPr="006518F1" w14:paraId="66E55EC2" w14:textId="77777777" w:rsidTr="004B2116">
        <w:trPr>
          <w:trHeight w:val="225"/>
        </w:trPr>
        <w:tc>
          <w:tcPr>
            <w:tcW w:w="535" w:type="dxa"/>
          </w:tcPr>
          <w:p w14:paraId="710CA073" w14:textId="77777777" w:rsidR="004B2116" w:rsidRDefault="004B2116" w:rsidP="00F01E1A">
            <w:pPr>
              <w:pStyle w:val="ListParagraph"/>
              <w:numPr>
                <w:ilvl w:val="0"/>
                <w:numId w:val="19"/>
              </w:numPr>
            </w:pPr>
          </w:p>
        </w:tc>
        <w:tc>
          <w:tcPr>
            <w:tcW w:w="8815" w:type="dxa"/>
          </w:tcPr>
          <w:p w14:paraId="0C745B75" w14:textId="1CE37921" w:rsidR="004B2116" w:rsidRPr="006518F1" w:rsidRDefault="004B2116" w:rsidP="002D3909">
            <w:pPr>
              <w:rPr>
                <w:rFonts w:ascii="Arial" w:hAnsi="Arial" w:cs="Arial"/>
              </w:rPr>
            </w:pPr>
            <w:r>
              <w:rPr>
                <w:rFonts w:ascii="Arial" w:hAnsi="Arial" w:cs="Arial"/>
              </w:rPr>
              <w:t xml:space="preserve">The </w:t>
            </w:r>
            <w:r w:rsidR="00A146AC">
              <w:rPr>
                <w:rFonts w:ascii="Arial" w:hAnsi="Arial" w:cs="Arial"/>
              </w:rPr>
              <w:t>Contractor</w:t>
            </w:r>
            <w:r w:rsidRPr="006518F1">
              <w:rPr>
                <w:rFonts w:ascii="Arial" w:hAnsi="Arial" w:cs="Arial"/>
              </w:rPr>
              <w:t xml:space="preserve"> must be able to customize the time period that the wellness program requirements are available to the ETF population and the deadline for completion to meet the needs of ETF</w:t>
            </w:r>
            <w:r w:rsidR="00121208">
              <w:rPr>
                <w:rFonts w:ascii="Arial" w:hAnsi="Arial" w:cs="Arial"/>
              </w:rPr>
              <w:t>’</w:t>
            </w:r>
            <w:r w:rsidRPr="006518F1">
              <w:rPr>
                <w:rFonts w:ascii="Arial" w:hAnsi="Arial" w:cs="Arial"/>
              </w:rPr>
              <w:t>s annual open enrollment period and changes to the program requirements</w:t>
            </w:r>
            <w:r w:rsidR="002D3909">
              <w:rPr>
                <w:rFonts w:ascii="Arial" w:hAnsi="Arial" w:cs="Arial"/>
              </w:rPr>
              <w:t>.</w:t>
            </w:r>
          </w:p>
        </w:tc>
      </w:tr>
      <w:tr w:rsidR="004B2116" w:rsidRPr="008D6062" w14:paraId="13D38697" w14:textId="77777777" w:rsidTr="004B2116">
        <w:trPr>
          <w:trHeight w:val="225"/>
        </w:trPr>
        <w:tc>
          <w:tcPr>
            <w:tcW w:w="535" w:type="dxa"/>
          </w:tcPr>
          <w:p w14:paraId="08712EB8" w14:textId="77777777" w:rsidR="004B2116" w:rsidRDefault="004B2116" w:rsidP="00F01E1A">
            <w:pPr>
              <w:pStyle w:val="ListParagraph"/>
              <w:numPr>
                <w:ilvl w:val="0"/>
                <w:numId w:val="19"/>
              </w:numPr>
            </w:pPr>
          </w:p>
        </w:tc>
        <w:tc>
          <w:tcPr>
            <w:tcW w:w="8815" w:type="dxa"/>
          </w:tcPr>
          <w:p w14:paraId="7919EE14" w14:textId="52F7F54E" w:rsidR="004B2116" w:rsidRDefault="002D3909" w:rsidP="00410419">
            <w:pPr>
              <w:pStyle w:val="LRWLBodyText"/>
              <w:rPr>
                <w:rFonts w:cs="Arial"/>
                <w:color w:val="000000"/>
              </w:rPr>
            </w:pPr>
            <w:r>
              <w:rPr>
                <w:rFonts w:cs="Arial"/>
                <w:color w:val="000000"/>
              </w:rPr>
              <w:t>Cash i</w:t>
            </w:r>
            <w:r w:rsidR="004B2116" w:rsidRPr="006518F1">
              <w:rPr>
                <w:rFonts w:cs="Arial"/>
                <w:color w:val="000000"/>
              </w:rPr>
              <w:t xml:space="preserve">ncentives issued for the program must be a check or universally accepted gift card. </w:t>
            </w:r>
          </w:p>
          <w:p w14:paraId="2257B5BA" w14:textId="720B5278" w:rsidR="00AB7627" w:rsidRPr="004A3D4C" w:rsidRDefault="00AB7627" w:rsidP="00F01E1A">
            <w:pPr>
              <w:pStyle w:val="LRWLBodyText"/>
              <w:numPr>
                <w:ilvl w:val="0"/>
                <w:numId w:val="32"/>
              </w:numPr>
              <w:rPr>
                <w:rFonts w:cs="Arial"/>
              </w:rPr>
            </w:pPr>
            <w:r>
              <w:rPr>
                <w:rFonts w:cs="Arial"/>
                <w:color w:val="000000"/>
              </w:rPr>
              <w:t>Gift cards must not be restricted to a specific list of merchants or entities.</w:t>
            </w:r>
          </w:p>
          <w:p w14:paraId="72CF8008" w14:textId="053DF67E" w:rsidR="004B2116" w:rsidRPr="008D6062" w:rsidRDefault="004B2116" w:rsidP="00F01E1A">
            <w:pPr>
              <w:pStyle w:val="LRWLBodyText"/>
              <w:numPr>
                <w:ilvl w:val="0"/>
                <w:numId w:val="32"/>
              </w:numPr>
              <w:rPr>
                <w:rFonts w:cs="Arial"/>
              </w:rPr>
            </w:pPr>
            <w:r w:rsidRPr="006518F1">
              <w:rPr>
                <w:rFonts w:cs="Arial"/>
                <w:color w:val="000000"/>
              </w:rPr>
              <w:t>Participant</w:t>
            </w:r>
            <w:r w:rsidR="00BC7DDB">
              <w:rPr>
                <w:rFonts w:cs="Arial"/>
                <w:color w:val="000000"/>
              </w:rPr>
              <w:t>s</w:t>
            </w:r>
            <w:r w:rsidRPr="006518F1">
              <w:rPr>
                <w:rFonts w:cs="Arial"/>
                <w:color w:val="000000"/>
              </w:rPr>
              <w:t xml:space="preserve"> may not be charged a service</w:t>
            </w:r>
            <w:r w:rsidR="00AB7627">
              <w:rPr>
                <w:rFonts w:cs="Arial"/>
                <w:color w:val="000000"/>
              </w:rPr>
              <w:t xml:space="preserve"> </w:t>
            </w:r>
            <w:r w:rsidRPr="006518F1">
              <w:rPr>
                <w:rFonts w:cs="Arial"/>
                <w:color w:val="000000"/>
              </w:rPr>
              <w:t xml:space="preserve">fee for </w:t>
            </w:r>
            <w:r w:rsidR="002D3909">
              <w:rPr>
                <w:rFonts w:cs="Arial"/>
                <w:color w:val="000000"/>
              </w:rPr>
              <w:t xml:space="preserve">the </w:t>
            </w:r>
            <w:r w:rsidRPr="006518F1">
              <w:rPr>
                <w:rFonts w:cs="Arial"/>
                <w:color w:val="000000"/>
              </w:rPr>
              <w:t xml:space="preserve">first request </w:t>
            </w:r>
            <w:r w:rsidR="00AB7627">
              <w:rPr>
                <w:rFonts w:cs="Arial"/>
                <w:color w:val="000000"/>
              </w:rPr>
              <w:t xml:space="preserve">to reissue </w:t>
            </w:r>
            <w:r w:rsidR="00F60143">
              <w:rPr>
                <w:rFonts w:cs="Arial"/>
                <w:color w:val="000000"/>
              </w:rPr>
              <w:t xml:space="preserve">an </w:t>
            </w:r>
            <w:r w:rsidRPr="006518F1">
              <w:rPr>
                <w:rFonts w:cs="Arial"/>
                <w:color w:val="000000"/>
              </w:rPr>
              <w:t xml:space="preserve">incentive payment. </w:t>
            </w:r>
          </w:p>
          <w:p w14:paraId="1D6F9C08" w14:textId="7BDBA7FC" w:rsidR="004B2116" w:rsidRPr="008D6062" w:rsidRDefault="004B2116" w:rsidP="00F01E1A">
            <w:pPr>
              <w:pStyle w:val="LRWLBodyText"/>
              <w:numPr>
                <w:ilvl w:val="0"/>
                <w:numId w:val="32"/>
              </w:numPr>
              <w:rPr>
                <w:rFonts w:cs="Arial"/>
              </w:rPr>
            </w:pPr>
            <w:r w:rsidRPr="006518F1">
              <w:rPr>
                <w:rFonts w:cs="Arial"/>
                <w:color w:val="000000"/>
              </w:rPr>
              <w:t xml:space="preserve">Gift cards must comply with the Credit Card Accountability Responsibility and Disclosure Act of 2009. Policy, procedures and </w:t>
            </w:r>
            <w:r w:rsidR="00F60143" w:rsidRPr="006518F1">
              <w:rPr>
                <w:rFonts w:cs="Arial"/>
                <w:color w:val="000000"/>
              </w:rPr>
              <w:t xml:space="preserve">fees </w:t>
            </w:r>
            <w:r w:rsidRPr="006518F1">
              <w:rPr>
                <w:rFonts w:cs="Arial"/>
                <w:color w:val="000000"/>
              </w:rPr>
              <w:t>for reissuing gift card</w:t>
            </w:r>
            <w:r w:rsidR="00255B0F">
              <w:rPr>
                <w:rFonts w:cs="Arial"/>
                <w:color w:val="000000"/>
              </w:rPr>
              <w:t>s</w:t>
            </w:r>
            <w:r w:rsidRPr="006518F1">
              <w:rPr>
                <w:rFonts w:cs="Arial"/>
                <w:color w:val="000000"/>
              </w:rPr>
              <w:t xml:space="preserve"> must be adequately disclosed to </w:t>
            </w:r>
            <w:r w:rsidR="00E46012">
              <w:rPr>
                <w:rFonts w:cs="Arial"/>
              </w:rPr>
              <w:t>Member</w:t>
            </w:r>
            <w:r w:rsidR="00E46012" w:rsidRPr="008D6062">
              <w:rPr>
                <w:rFonts w:cs="Arial"/>
              </w:rPr>
              <w:t>s</w:t>
            </w:r>
            <w:r w:rsidR="00E46012">
              <w:rPr>
                <w:rFonts w:cs="Arial"/>
              </w:rPr>
              <w:t xml:space="preserve"> </w:t>
            </w:r>
            <w:r w:rsidR="00AB7627">
              <w:rPr>
                <w:rFonts w:cs="Arial"/>
              </w:rPr>
              <w:t>in program material</w:t>
            </w:r>
            <w:r w:rsidR="004A3D4C">
              <w:rPr>
                <w:rFonts w:cs="Arial"/>
              </w:rPr>
              <w:t>s</w:t>
            </w:r>
            <w:r w:rsidR="00AB7627">
              <w:rPr>
                <w:rFonts w:cs="Arial"/>
              </w:rPr>
              <w:t xml:space="preserve"> and on the web-portal</w:t>
            </w:r>
            <w:r w:rsidRPr="008D6062">
              <w:rPr>
                <w:rFonts w:cs="Arial"/>
              </w:rPr>
              <w:t xml:space="preserve">. </w:t>
            </w:r>
          </w:p>
          <w:p w14:paraId="5DC1B2C0" w14:textId="3FDB357F" w:rsidR="004B2116" w:rsidRDefault="004B2116" w:rsidP="00F01E1A">
            <w:pPr>
              <w:pStyle w:val="LRWLBodyText"/>
              <w:numPr>
                <w:ilvl w:val="0"/>
                <w:numId w:val="32"/>
              </w:numPr>
              <w:rPr>
                <w:rFonts w:cs="Arial"/>
              </w:rPr>
            </w:pPr>
            <w:r w:rsidRPr="008D6062">
              <w:rPr>
                <w:rFonts w:cs="Arial"/>
              </w:rPr>
              <w:t xml:space="preserve">The </w:t>
            </w:r>
            <w:r w:rsidR="00A146AC">
              <w:rPr>
                <w:rFonts w:cs="Arial"/>
              </w:rPr>
              <w:t>Contractor</w:t>
            </w:r>
            <w:r w:rsidRPr="008D6062">
              <w:rPr>
                <w:rFonts w:cs="Arial"/>
              </w:rPr>
              <w:t xml:space="preserve"> must have the ability to </w:t>
            </w:r>
            <w:r w:rsidR="00AB7627">
              <w:rPr>
                <w:rFonts w:cs="Arial"/>
              </w:rPr>
              <w:t>delay issuing</w:t>
            </w:r>
            <w:r w:rsidRPr="008D6062">
              <w:rPr>
                <w:rFonts w:cs="Arial"/>
              </w:rPr>
              <w:t xml:space="preserve"> incentive payments earned at the end of the calendar year in order to accommodate the needs of the employer payroll centers for current year tax reporting.</w:t>
            </w:r>
          </w:p>
          <w:p w14:paraId="6AF35367" w14:textId="257D6F4E" w:rsidR="003271F5" w:rsidRPr="008D6062" w:rsidRDefault="004B2116" w:rsidP="00F01E1A">
            <w:pPr>
              <w:pStyle w:val="LRWLBodyText"/>
              <w:numPr>
                <w:ilvl w:val="0"/>
                <w:numId w:val="32"/>
              </w:numPr>
              <w:rPr>
                <w:rFonts w:cs="Arial"/>
              </w:rPr>
            </w:pPr>
            <w:r w:rsidRPr="006518F1">
              <w:rPr>
                <w:rFonts w:cs="Arial"/>
                <w:color w:val="000000"/>
              </w:rPr>
              <w:t xml:space="preserve">Incentives must be issued to the Participant no later than </w:t>
            </w:r>
            <w:r w:rsidR="00C567B6">
              <w:rPr>
                <w:rFonts w:cs="Arial"/>
                <w:color w:val="000000"/>
              </w:rPr>
              <w:t>four (4)</w:t>
            </w:r>
            <w:r w:rsidRPr="006518F1">
              <w:rPr>
                <w:rFonts w:cs="Arial"/>
                <w:color w:val="000000"/>
              </w:rPr>
              <w:t xml:space="preserve"> weeks after the incentive is earned, with the exception of payments earned after the November payroll report deadline, in which case incentives must be issued no later than January 31 of the following year.</w:t>
            </w:r>
          </w:p>
        </w:tc>
      </w:tr>
      <w:tr w:rsidR="004B2116" w:rsidRPr="006518F1" w14:paraId="4C83C334" w14:textId="77777777" w:rsidTr="004B2116">
        <w:trPr>
          <w:trHeight w:val="225"/>
        </w:trPr>
        <w:tc>
          <w:tcPr>
            <w:tcW w:w="535" w:type="dxa"/>
          </w:tcPr>
          <w:p w14:paraId="34DEFF2F" w14:textId="77777777" w:rsidR="004B2116" w:rsidRDefault="004B2116" w:rsidP="00F01E1A">
            <w:pPr>
              <w:pStyle w:val="ListParagraph"/>
              <w:numPr>
                <w:ilvl w:val="0"/>
                <w:numId w:val="19"/>
              </w:numPr>
            </w:pPr>
          </w:p>
        </w:tc>
        <w:tc>
          <w:tcPr>
            <w:tcW w:w="8815" w:type="dxa"/>
          </w:tcPr>
          <w:p w14:paraId="69F08DFB" w14:textId="02F62489" w:rsidR="00AD0CF6" w:rsidRPr="006518F1" w:rsidRDefault="004B2116" w:rsidP="00AD0CF6">
            <w:pPr>
              <w:rPr>
                <w:rFonts w:ascii="Arial" w:hAnsi="Arial" w:cs="Arial"/>
              </w:rPr>
            </w:pPr>
            <w:r>
              <w:rPr>
                <w:rFonts w:ascii="Arial" w:hAnsi="Arial" w:cs="Arial"/>
                <w:color w:val="000000"/>
              </w:rPr>
              <w:t xml:space="preserve">The </w:t>
            </w:r>
            <w:r w:rsidR="00A146AC">
              <w:rPr>
                <w:rFonts w:ascii="Arial" w:hAnsi="Arial" w:cs="Arial"/>
                <w:color w:val="000000"/>
              </w:rPr>
              <w:t>Contractor</w:t>
            </w:r>
            <w:r w:rsidRPr="006518F1">
              <w:rPr>
                <w:rFonts w:ascii="Arial" w:hAnsi="Arial" w:cs="Arial"/>
                <w:color w:val="000000"/>
              </w:rPr>
              <w:t xml:space="preserve"> must be able to implement transitions in incentive design changes, such as moving from a cash incentive to other financial incentive model</w:t>
            </w:r>
            <w:r w:rsidR="0005128D">
              <w:rPr>
                <w:rFonts w:ascii="Arial" w:hAnsi="Arial" w:cs="Arial"/>
                <w:color w:val="000000"/>
              </w:rPr>
              <w:t xml:space="preserve">s (e.g., </w:t>
            </w:r>
            <w:r w:rsidRPr="006518F1">
              <w:rPr>
                <w:rFonts w:ascii="Arial" w:hAnsi="Arial" w:cs="Arial"/>
                <w:color w:val="000000"/>
              </w:rPr>
              <w:t>premium differentials</w:t>
            </w:r>
            <w:r w:rsidR="0005128D">
              <w:rPr>
                <w:rFonts w:ascii="Arial" w:hAnsi="Arial" w:cs="Arial"/>
                <w:color w:val="000000"/>
              </w:rPr>
              <w:t>,</w:t>
            </w:r>
            <w:r w:rsidRPr="006518F1">
              <w:rPr>
                <w:rFonts w:ascii="Arial" w:hAnsi="Arial" w:cs="Arial"/>
                <w:color w:val="000000"/>
              </w:rPr>
              <w:t xml:space="preserve"> reductions in copayments</w:t>
            </w:r>
            <w:r w:rsidR="0005128D">
              <w:rPr>
                <w:rFonts w:ascii="Arial" w:hAnsi="Arial" w:cs="Arial"/>
                <w:color w:val="000000"/>
              </w:rPr>
              <w:t>).</w:t>
            </w:r>
            <w:r w:rsidR="00AB7627">
              <w:rPr>
                <w:rFonts w:ascii="Arial" w:hAnsi="Arial" w:cs="Arial"/>
                <w:color w:val="000000"/>
              </w:rPr>
              <w:t xml:space="preserve"> This will include developing the necessary </w:t>
            </w:r>
            <w:r w:rsidR="00AB7627">
              <w:rPr>
                <w:rFonts w:ascii="Arial" w:hAnsi="Arial" w:cs="Arial"/>
                <w:color w:val="000000"/>
              </w:rPr>
              <w:lastRenderedPageBreak/>
              <w:t>reporting and/or data transfers need</w:t>
            </w:r>
            <w:r w:rsidR="0036209D">
              <w:rPr>
                <w:rFonts w:ascii="Arial" w:hAnsi="Arial" w:cs="Arial"/>
                <w:color w:val="000000"/>
              </w:rPr>
              <w:t>ed</w:t>
            </w:r>
            <w:r w:rsidR="00AB7627">
              <w:rPr>
                <w:rFonts w:ascii="Arial" w:hAnsi="Arial" w:cs="Arial"/>
                <w:color w:val="000000"/>
              </w:rPr>
              <w:t xml:space="preserve"> by ETF and other vendors of the GHIP/WPE programs to administer the</w:t>
            </w:r>
            <w:r w:rsidR="0038174C">
              <w:rPr>
                <w:rFonts w:ascii="Arial" w:hAnsi="Arial" w:cs="Arial"/>
                <w:color w:val="000000"/>
              </w:rPr>
              <w:t xml:space="preserve"> changed</w:t>
            </w:r>
            <w:r w:rsidR="00AB7627">
              <w:rPr>
                <w:rFonts w:ascii="Arial" w:hAnsi="Arial" w:cs="Arial"/>
                <w:color w:val="000000"/>
              </w:rPr>
              <w:t xml:space="preserve"> incentive.</w:t>
            </w:r>
          </w:p>
        </w:tc>
      </w:tr>
      <w:tr w:rsidR="00AD0CF6" w:rsidRPr="006518F1" w14:paraId="5DD4681E" w14:textId="77777777" w:rsidTr="004B2116">
        <w:trPr>
          <w:trHeight w:val="225"/>
        </w:trPr>
        <w:tc>
          <w:tcPr>
            <w:tcW w:w="535" w:type="dxa"/>
          </w:tcPr>
          <w:p w14:paraId="059E45D6" w14:textId="77777777" w:rsidR="00AD0CF6" w:rsidRDefault="00AD0CF6" w:rsidP="00F01E1A">
            <w:pPr>
              <w:pStyle w:val="ListParagraph"/>
              <w:numPr>
                <w:ilvl w:val="0"/>
                <w:numId w:val="19"/>
              </w:numPr>
            </w:pPr>
          </w:p>
        </w:tc>
        <w:tc>
          <w:tcPr>
            <w:tcW w:w="8815" w:type="dxa"/>
          </w:tcPr>
          <w:p w14:paraId="23E9DD1D" w14:textId="2DF43827" w:rsidR="00AD0CF6" w:rsidRDefault="00AD0CF6" w:rsidP="00255B0F">
            <w:pPr>
              <w:rPr>
                <w:rFonts w:ascii="Arial" w:hAnsi="Arial" w:cs="Arial"/>
                <w:color w:val="000000"/>
              </w:rPr>
            </w:pPr>
            <w:r>
              <w:rPr>
                <w:rFonts w:ascii="Arial" w:hAnsi="Arial" w:cs="Arial"/>
              </w:rPr>
              <w:t xml:space="preserve">The </w:t>
            </w:r>
            <w:r w:rsidR="00A146AC">
              <w:rPr>
                <w:rFonts w:ascii="Arial" w:hAnsi="Arial" w:cs="Arial"/>
              </w:rPr>
              <w:t>Contractor</w:t>
            </w:r>
            <w:r w:rsidRPr="006518F1">
              <w:rPr>
                <w:rFonts w:ascii="Arial" w:hAnsi="Arial" w:cs="Arial"/>
              </w:rPr>
              <w:t xml:space="preserve"> must comply with all applicable requirements and provisions of the Americans with Disabilities Act (ADA) of 1990. Evidence of compliance with ADA shall be made available to ETF upon request</w:t>
            </w:r>
            <w:r>
              <w:rPr>
                <w:rFonts w:ascii="Arial" w:hAnsi="Arial" w:cs="Arial"/>
              </w:rPr>
              <w:t>.</w:t>
            </w:r>
          </w:p>
        </w:tc>
      </w:tr>
    </w:tbl>
    <w:p w14:paraId="69441866" w14:textId="77777777" w:rsidR="00F57731" w:rsidRDefault="00F57731" w:rsidP="00644C74">
      <w:pPr>
        <w:pStyle w:val="Heading2"/>
        <w:ind w:hanging="1926"/>
      </w:pPr>
      <w:r>
        <w:t>Biometric Screening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266B3E" w14:paraId="349FDC73" w14:textId="77777777" w:rsidTr="0059128F">
        <w:tc>
          <w:tcPr>
            <w:tcW w:w="535" w:type="dxa"/>
          </w:tcPr>
          <w:p w14:paraId="13B8157E" w14:textId="77777777" w:rsidR="00266B3E" w:rsidRDefault="00266B3E" w:rsidP="00F01E1A">
            <w:pPr>
              <w:pStyle w:val="ListParagraph"/>
              <w:numPr>
                <w:ilvl w:val="0"/>
                <w:numId w:val="40"/>
              </w:numPr>
            </w:pPr>
          </w:p>
        </w:tc>
        <w:tc>
          <w:tcPr>
            <w:tcW w:w="8815" w:type="dxa"/>
          </w:tcPr>
          <w:p w14:paraId="181D3C52" w14:textId="6E1216FF" w:rsidR="00266B3E" w:rsidRPr="00266B3E" w:rsidRDefault="00FB5E70" w:rsidP="00E46012">
            <w:pPr>
              <w:rPr>
                <w:rFonts w:ascii="Arial" w:hAnsi="Arial" w:cs="Arial"/>
              </w:rPr>
            </w:pPr>
            <w:r>
              <w:rPr>
                <w:rFonts w:ascii="Arial" w:hAnsi="Arial" w:cs="Arial"/>
              </w:rPr>
              <w:t xml:space="preserve">The </w:t>
            </w:r>
            <w:r w:rsidR="00A146AC">
              <w:rPr>
                <w:rFonts w:ascii="Arial" w:hAnsi="Arial" w:cs="Arial"/>
              </w:rPr>
              <w:t>Contractor</w:t>
            </w:r>
            <w:r w:rsidR="00266B3E" w:rsidRPr="006518F1">
              <w:rPr>
                <w:rFonts w:ascii="Arial" w:hAnsi="Arial" w:cs="Arial"/>
              </w:rPr>
              <w:t xml:space="preserve"> must develop and provide a cost-effective</w:t>
            </w:r>
            <w:r w:rsidR="0036209D">
              <w:rPr>
                <w:rFonts w:ascii="Arial" w:hAnsi="Arial" w:cs="Arial"/>
              </w:rPr>
              <w:t>, efficient, and engaging</w:t>
            </w:r>
            <w:r w:rsidR="00266B3E" w:rsidRPr="006518F1">
              <w:rPr>
                <w:rFonts w:ascii="Arial" w:hAnsi="Arial" w:cs="Arial"/>
              </w:rPr>
              <w:t xml:space="preserve"> workplace biometric screening process administered by qualified individuals at statewide locations</w:t>
            </w:r>
            <w:r w:rsidR="0005128D">
              <w:rPr>
                <w:rFonts w:ascii="Arial" w:hAnsi="Arial" w:cs="Arial"/>
              </w:rPr>
              <w:t>,</w:t>
            </w:r>
            <w:r w:rsidR="00266B3E" w:rsidRPr="006518F1">
              <w:rPr>
                <w:rFonts w:ascii="Arial" w:hAnsi="Arial" w:cs="Arial"/>
              </w:rPr>
              <w:t xml:space="preserve"> accessible to all </w:t>
            </w:r>
            <w:r w:rsidR="00E46012">
              <w:rPr>
                <w:rFonts w:ascii="Arial" w:hAnsi="Arial" w:cs="Arial"/>
              </w:rPr>
              <w:t>eligible Members</w:t>
            </w:r>
            <w:r w:rsidR="00266B3E" w:rsidRPr="006518F1">
              <w:rPr>
                <w:rFonts w:ascii="Arial" w:hAnsi="Arial" w:cs="Arial"/>
              </w:rPr>
              <w:t xml:space="preserve"> that will meet the current and future needs of the program.</w:t>
            </w:r>
          </w:p>
        </w:tc>
      </w:tr>
      <w:tr w:rsidR="00753EE1" w14:paraId="0D036F1F" w14:textId="77777777" w:rsidTr="0059128F">
        <w:tc>
          <w:tcPr>
            <w:tcW w:w="535" w:type="dxa"/>
          </w:tcPr>
          <w:p w14:paraId="421EA172" w14:textId="77777777" w:rsidR="00753EE1" w:rsidRDefault="00753EE1" w:rsidP="00F01E1A">
            <w:pPr>
              <w:pStyle w:val="ListParagraph"/>
              <w:numPr>
                <w:ilvl w:val="0"/>
                <w:numId w:val="40"/>
              </w:numPr>
            </w:pPr>
          </w:p>
        </w:tc>
        <w:tc>
          <w:tcPr>
            <w:tcW w:w="8815" w:type="dxa"/>
          </w:tcPr>
          <w:p w14:paraId="2C2470AD" w14:textId="42E0DF26" w:rsidR="00753EE1" w:rsidRPr="006518F1" w:rsidRDefault="00753EE1" w:rsidP="004A3D4C">
            <w:pPr>
              <w:rPr>
                <w:rFonts w:ascii="Arial" w:hAnsi="Arial" w:cs="Arial"/>
              </w:rPr>
            </w:pPr>
            <w:r w:rsidRPr="00266B3E">
              <w:rPr>
                <w:rFonts w:ascii="Arial" w:hAnsi="Arial" w:cs="Arial"/>
              </w:rPr>
              <w:t xml:space="preserve">The </w:t>
            </w:r>
            <w:r w:rsidR="00A146AC">
              <w:rPr>
                <w:rFonts w:ascii="Arial" w:hAnsi="Arial" w:cs="Arial"/>
              </w:rPr>
              <w:t>Contractor</w:t>
            </w:r>
            <w:r w:rsidRPr="00266B3E">
              <w:rPr>
                <w:rFonts w:ascii="Arial" w:hAnsi="Arial" w:cs="Arial"/>
              </w:rPr>
              <w:t xml:space="preserve"> </w:t>
            </w:r>
            <w:r w:rsidR="008B6572">
              <w:rPr>
                <w:rFonts w:ascii="Arial" w:hAnsi="Arial" w:cs="Arial"/>
              </w:rPr>
              <w:t>must</w:t>
            </w:r>
            <w:r w:rsidRPr="00266B3E">
              <w:rPr>
                <w:rFonts w:ascii="Arial" w:hAnsi="Arial" w:cs="Arial"/>
              </w:rPr>
              <w:t xml:space="preserve"> </w:t>
            </w:r>
            <w:r w:rsidR="008B6572">
              <w:rPr>
                <w:rFonts w:ascii="Arial" w:hAnsi="Arial" w:cs="Arial"/>
              </w:rPr>
              <w:t xml:space="preserve">develop and submit a </w:t>
            </w:r>
            <w:r w:rsidR="00E75806">
              <w:rPr>
                <w:rFonts w:ascii="Arial" w:hAnsi="Arial" w:cs="Arial"/>
              </w:rPr>
              <w:t xml:space="preserve">biometric </w:t>
            </w:r>
            <w:r w:rsidRPr="00266B3E">
              <w:rPr>
                <w:rFonts w:ascii="Arial" w:hAnsi="Arial" w:cs="Arial"/>
              </w:rPr>
              <w:t>screening protocol</w:t>
            </w:r>
            <w:r w:rsidR="008B6572">
              <w:rPr>
                <w:rFonts w:ascii="Arial" w:hAnsi="Arial" w:cs="Arial"/>
              </w:rPr>
              <w:t xml:space="preserve"> for all </w:t>
            </w:r>
            <w:r w:rsidR="00A146AC">
              <w:rPr>
                <w:rFonts w:ascii="Arial" w:hAnsi="Arial" w:cs="Arial"/>
              </w:rPr>
              <w:t>Contractor</w:t>
            </w:r>
            <w:r w:rsidR="008B6572">
              <w:rPr>
                <w:rFonts w:ascii="Arial" w:hAnsi="Arial" w:cs="Arial"/>
              </w:rPr>
              <w:t xml:space="preserve"> conducted screenings </w:t>
            </w:r>
            <w:r w:rsidR="006B1AB5">
              <w:rPr>
                <w:rFonts w:ascii="Arial" w:hAnsi="Arial" w:cs="Arial"/>
              </w:rPr>
              <w:t xml:space="preserve">within thirty (30) Days of the Contract start date and receive </w:t>
            </w:r>
            <w:r w:rsidR="00EF38D7">
              <w:rPr>
                <w:rFonts w:ascii="Arial" w:hAnsi="Arial" w:cs="Arial"/>
              </w:rPr>
              <w:t xml:space="preserve">approval from the </w:t>
            </w:r>
            <w:r w:rsidR="0039499C">
              <w:rPr>
                <w:rFonts w:ascii="Arial" w:hAnsi="Arial" w:cs="Arial"/>
              </w:rPr>
              <w:t xml:space="preserve">ETF </w:t>
            </w:r>
            <w:r w:rsidR="00EF38D7">
              <w:rPr>
                <w:rFonts w:ascii="Arial" w:hAnsi="Arial" w:cs="Arial"/>
              </w:rPr>
              <w:t xml:space="preserve">Program Manager </w:t>
            </w:r>
            <w:r w:rsidR="006B1AB5">
              <w:rPr>
                <w:rFonts w:ascii="Arial" w:hAnsi="Arial" w:cs="Arial"/>
              </w:rPr>
              <w:t xml:space="preserve">of the protocol no less than </w:t>
            </w:r>
            <w:r w:rsidR="00DA2A67">
              <w:rPr>
                <w:rFonts w:ascii="Arial" w:hAnsi="Arial" w:cs="Arial"/>
              </w:rPr>
              <w:t>sixty (60) Days prior to the first screening event.</w:t>
            </w:r>
            <w:r w:rsidR="0039499C">
              <w:rPr>
                <w:rFonts w:ascii="Arial" w:hAnsi="Arial" w:cs="Arial"/>
              </w:rPr>
              <w:t xml:space="preserve"> </w:t>
            </w:r>
            <w:r w:rsidR="0005128D">
              <w:rPr>
                <w:rFonts w:ascii="Arial" w:hAnsi="Arial" w:cs="Arial"/>
              </w:rPr>
              <w:t>The p</w:t>
            </w:r>
            <w:r w:rsidR="0039499C">
              <w:rPr>
                <w:rFonts w:ascii="Arial" w:hAnsi="Arial" w:cs="Arial"/>
              </w:rPr>
              <w:t>rotocol must include</w:t>
            </w:r>
            <w:r w:rsidR="00EF38D7">
              <w:rPr>
                <w:rFonts w:ascii="Arial" w:hAnsi="Arial" w:cs="Arial"/>
              </w:rPr>
              <w:t xml:space="preserve"> </w:t>
            </w:r>
            <w:r w:rsidR="0039499C">
              <w:rPr>
                <w:rFonts w:ascii="Arial" w:hAnsi="Arial" w:cs="Arial"/>
              </w:rPr>
              <w:t xml:space="preserve">quality assurance measures that </w:t>
            </w:r>
            <w:r w:rsidR="00EF38D7">
              <w:rPr>
                <w:rFonts w:ascii="Arial" w:hAnsi="Arial" w:cs="Arial"/>
              </w:rPr>
              <w:t>address staffing</w:t>
            </w:r>
            <w:r w:rsidR="00A771DC">
              <w:rPr>
                <w:rFonts w:ascii="Arial" w:hAnsi="Arial" w:cs="Arial"/>
              </w:rPr>
              <w:t xml:space="preserve"> levels and credentials,</w:t>
            </w:r>
            <w:r w:rsidR="00EF38D7">
              <w:rPr>
                <w:rFonts w:ascii="Arial" w:hAnsi="Arial" w:cs="Arial"/>
              </w:rPr>
              <w:t xml:space="preserve"> material</w:t>
            </w:r>
            <w:r w:rsidR="00A771DC">
              <w:rPr>
                <w:rFonts w:ascii="Arial" w:hAnsi="Arial" w:cs="Arial"/>
              </w:rPr>
              <w:t xml:space="preserve"> delivery to site</w:t>
            </w:r>
            <w:r w:rsidR="0038174C">
              <w:rPr>
                <w:rFonts w:ascii="Arial" w:hAnsi="Arial" w:cs="Arial"/>
              </w:rPr>
              <w:t>s</w:t>
            </w:r>
            <w:r w:rsidR="00EF38D7">
              <w:rPr>
                <w:rFonts w:ascii="Arial" w:hAnsi="Arial" w:cs="Arial"/>
              </w:rPr>
              <w:t xml:space="preserve">, </w:t>
            </w:r>
            <w:r w:rsidR="00A771DC">
              <w:rPr>
                <w:rFonts w:ascii="Arial" w:hAnsi="Arial" w:cs="Arial"/>
              </w:rPr>
              <w:t xml:space="preserve">calibration of </w:t>
            </w:r>
            <w:r w:rsidR="0039499C">
              <w:rPr>
                <w:rFonts w:ascii="Arial" w:hAnsi="Arial" w:cs="Arial"/>
              </w:rPr>
              <w:t>eq</w:t>
            </w:r>
            <w:r w:rsidR="007951AC">
              <w:rPr>
                <w:rFonts w:ascii="Arial" w:hAnsi="Arial" w:cs="Arial"/>
              </w:rPr>
              <w:t>uipment</w:t>
            </w:r>
            <w:r w:rsidR="00EF38D7">
              <w:rPr>
                <w:rFonts w:ascii="Arial" w:hAnsi="Arial" w:cs="Arial"/>
              </w:rPr>
              <w:t>,  privacy and confidentiality, data security of</w:t>
            </w:r>
            <w:r w:rsidR="004A3D4C">
              <w:rPr>
                <w:rFonts w:ascii="Arial" w:hAnsi="Arial" w:cs="Arial"/>
              </w:rPr>
              <w:t xml:space="preserve"> Confidential Information</w:t>
            </w:r>
            <w:r w:rsidR="00EF38D7">
              <w:rPr>
                <w:rFonts w:ascii="Arial" w:hAnsi="Arial" w:cs="Arial"/>
              </w:rPr>
              <w:t xml:space="preserve"> obtained at the event</w:t>
            </w:r>
            <w:r w:rsidR="004A3D4C">
              <w:rPr>
                <w:rFonts w:ascii="Arial" w:hAnsi="Arial" w:cs="Arial"/>
              </w:rPr>
              <w:t>,</w:t>
            </w:r>
            <w:r w:rsidR="00A771DC">
              <w:rPr>
                <w:rFonts w:ascii="Arial" w:hAnsi="Arial" w:cs="Arial"/>
              </w:rPr>
              <w:t xml:space="preserve"> and handling of </w:t>
            </w:r>
            <w:r w:rsidR="00D46699">
              <w:rPr>
                <w:rFonts w:ascii="Arial" w:hAnsi="Arial" w:cs="Arial"/>
              </w:rPr>
              <w:t xml:space="preserve">all </w:t>
            </w:r>
            <w:r w:rsidR="00A771DC">
              <w:rPr>
                <w:rFonts w:ascii="Arial" w:hAnsi="Arial" w:cs="Arial"/>
              </w:rPr>
              <w:t>waste</w:t>
            </w:r>
            <w:r w:rsidR="007951AC">
              <w:rPr>
                <w:rFonts w:ascii="Arial" w:hAnsi="Arial" w:cs="Arial"/>
              </w:rPr>
              <w:t>.</w:t>
            </w:r>
          </w:p>
        </w:tc>
      </w:tr>
      <w:tr w:rsidR="00247A48" w14:paraId="07A35BCD" w14:textId="77777777" w:rsidTr="0059128F">
        <w:tc>
          <w:tcPr>
            <w:tcW w:w="535" w:type="dxa"/>
          </w:tcPr>
          <w:p w14:paraId="777A0CD6" w14:textId="299E039F" w:rsidR="00247A48" w:rsidRDefault="00247A48" w:rsidP="00F01E1A">
            <w:pPr>
              <w:pStyle w:val="ListParagraph"/>
              <w:numPr>
                <w:ilvl w:val="0"/>
                <w:numId w:val="40"/>
              </w:numPr>
            </w:pPr>
          </w:p>
        </w:tc>
        <w:tc>
          <w:tcPr>
            <w:tcW w:w="8815" w:type="dxa"/>
          </w:tcPr>
          <w:p w14:paraId="204B6661" w14:textId="47093883" w:rsidR="00247A48" w:rsidRPr="006518F1" w:rsidRDefault="00FB5E70" w:rsidP="00E46012">
            <w:pPr>
              <w:rPr>
                <w:rFonts w:ascii="Arial" w:hAnsi="Arial" w:cs="Arial"/>
              </w:rPr>
            </w:pPr>
            <w:r>
              <w:rPr>
                <w:rFonts w:ascii="Arial" w:hAnsi="Arial" w:cs="Arial"/>
              </w:rPr>
              <w:t xml:space="preserve">The </w:t>
            </w:r>
            <w:r w:rsidR="00A146AC">
              <w:rPr>
                <w:rFonts w:ascii="Arial" w:hAnsi="Arial" w:cs="Arial"/>
              </w:rPr>
              <w:t>Contractor</w:t>
            </w:r>
            <w:r w:rsidR="00247A48" w:rsidRPr="006518F1">
              <w:rPr>
                <w:rFonts w:ascii="Arial" w:hAnsi="Arial" w:cs="Arial"/>
              </w:rPr>
              <w:t xml:space="preserve"> must provide convenient access to the biometric screening to all eligible </w:t>
            </w:r>
            <w:r w:rsidR="00E46012">
              <w:rPr>
                <w:rFonts w:ascii="Arial" w:hAnsi="Arial" w:cs="Arial"/>
              </w:rPr>
              <w:t>Member</w:t>
            </w:r>
            <w:r w:rsidR="00E46012" w:rsidRPr="006518F1">
              <w:rPr>
                <w:rFonts w:ascii="Arial" w:hAnsi="Arial" w:cs="Arial"/>
              </w:rPr>
              <w:t xml:space="preserve">s </w:t>
            </w:r>
            <w:r w:rsidR="00247A48" w:rsidRPr="006518F1">
              <w:rPr>
                <w:rFonts w:ascii="Arial" w:hAnsi="Arial" w:cs="Arial"/>
              </w:rPr>
              <w:t>including shift workers</w:t>
            </w:r>
            <w:r w:rsidR="00255B0F">
              <w:rPr>
                <w:rFonts w:ascii="Arial" w:hAnsi="Arial" w:cs="Arial"/>
              </w:rPr>
              <w:t xml:space="preserve"> and</w:t>
            </w:r>
            <w:r w:rsidR="00247A48" w:rsidRPr="006518F1">
              <w:rPr>
                <w:rFonts w:ascii="Arial" w:hAnsi="Arial" w:cs="Arial"/>
              </w:rPr>
              <w:t xml:space="preserve"> events at secure facilities</w:t>
            </w:r>
            <w:r w:rsidR="00255B0F">
              <w:rPr>
                <w:rFonts w:ascii="Arial" w:hAnsi="Arial" w:cs="Arial"/>
              </w:rPr>
              <w:t xml:space="preserve"> at</w:t>
            </w:r>
            <w:r w:rsidR="00247A48" w:rsidRPr="006518F1">
              <w:rPr>
                <w:rFonts w:ascii="Arial" w:hAnsi="Arial" w:cs="Arial"/>
              </w:rPr>
              <w:t xml:space="preserve"> convenient times and accommodate hours outside of normal work hours</w:t>
            </w:r>
            <w:r w:rsidR="0036209D">
              <w:rPr>
                <w:rFonts w:ascii="Arial" w:hAnsi="Arial" w:cs="Arial"/>
              </w:rPr>
              <w:t xml:space="preserve"> and days</w:t>
            </w:r>
            <w:r w:rsidR="00247A48" w:rsidRPr="006518F1">
              <w:rPr>
                <w:rFonts w:ascii="Arial" w:hAnsi="Arial" w:cs="Arial"/>
              </w:rPr>
              <w:t xml:space="preserve">. </w:t>
            </w:r>
          </w:p>
        </w:tc>
      </w:tr>
      <w:tr w:rsidR="00A1130B" w14:paraId="46C02A36" w14:textId="77777777" w:rsidTr="0059128F">
        <w:tc>
          <w:tcPr>
            <w:tcW w:w="535" w:type="dxa"/>
          </w:tcPr>
          <w:p w14:paraId="4DDC56C7" w14:textId="77777777" w:rsidR="00A1130B" w:rsidRDefault="00A1130B" w:rsidP="00F01E1A">
            <w:pPr>
              <w:pStyle w:val="ListParagraph"/>
              <w:numPr>
                <w:ilvl w:val="0"/>
                <w:numId w:val="40"/>
              </w:numPr>
            </w:pPr>
          </w:p>
        </w:tc>
        <w:tc>
          <w:tcPr>
            <w:tcW w:w="8815" w:type="dxa"/>
          </w:tcPr>
          <w:p w14:paraId="214307BB" w14:textId="4DF0EBA6" w:rsidR="00A1130B" w:rsidRPr="00A1130B" w:rsidRDefault="00A1130B" w:rsidP="00A1130B">
            <w:pPr>
              <w:pStyle w:val="LRWLBodyText"/>
              <w:rPr>
                <w:rFonts w:cs="Arial"/>
              </w:rPr>
            </w:pPr>
            <w:r>
              <w:rPr>
                <w:rFonts w:cs="Arial"/>
              </w:rPr>
              <w:t xml:space="preserve">The </w:t>
            </w:r>
            <w:r w:rsidR="00A146AC">
              <w:rPr>
                <w:rFonts w:cs="Arial"/>
              </w:rPr>
              <w:t>Contractor</w:t>
            </w:r>
            <w:r w:rsidRPr="006518F1">
              <w:rPr>
                <w:rFonts w:cs="Arial"/>
              </w:rPr>
              <w:t xml:space="preserve"> must establish a central point of contact for coordination with eligible employer groups for scheduling and promoti</w:t>
            </w:r>
            <w:r w:rsidR="0005128D">
              <w:rPr>
                <w:rFonts w:cs="Arial"/>
              </w:rPr>
              <w:t>ng</w:t>
            </w:r>
            <w:r w:rsidRPr="006518F1">
              <w:rPr>
                <w:rFonts w:cs="Arial"/>
              </w:rPr>
              <w:t xml:space="preserve"> of workplace biometric screening events. </w:t>
            </w:r>
          </w:p>
          <w:p w14:paraId="59266917" w14:textId="7951CC59" w:rsidR="0001765F" w:rsidRDefault="0001765F" w:rsidP="00F01E1A">
            <w:pPr>
              <w:pStyle w:val="LRWLBodyText"/>
              <w:numPr>
                <w:ilvl w:val="0"/>
                <w:numId w:val="34"/>
              </w:numPr>
            </w:pPr>
            <w:r>
              <w:t xml:space="preserve">The </w:t>
            </w:r>
            <w:r w:rsidR="00A146AC">
              <w:t>Contractor</w:t>
            </w:r>
            <w:r>
              <w:t xml:space="preserve"> must schedule a biometric screening event for any eligible employer site that makes a formal request to the </w:t>
            </w:r>
            <w:r w:rsidR="00A146AC">
              <w:t>Contractor</w:t>
            </w:r>
            <w:r>
              <w:t xml:space="preserve"> at least sixty (60) Days prior to the </w:t>
            </w:r>
            <w:r w:rsidR="007F759B">
              <w:t>employer specified event</w:t>
            </w:r>
            <w:r>
              <w:t xml:space="preserve"> date.</w:t>
            </w:r>
          </w:p>
          <w:p w14:paraId="5779AB3A" w14:textId="521963FF" w:rsidR="002572B8" w:rsidRPr="00A1130B" w:rsidRDefault="002572B8" w:rsidP="00F01E1A">
            <w:pPr>
              <w:pStyle w:val="LRWLBodyText"/>
              <w:numPr>
                <w:ilvl w:val="0"/>
                <w:numId w:val="34"/>
              </w:numPr>
            </w:pPr>
            <w:r>
              <w:rPr>
                <w:rFonts w:cs="Arial"/>
              </w:rPr>
              <w:t xml:space="preserve">The </w:t>
            </w:r>
            <w:r w:rsidR="00A146AC">
              <w:rPr>
                <w:rFonts w:cs="Arial"/>
              </w:rPr>
              <w:t>Contractor</w:t>
            </w:r>
            <w:r w:rsidRPr="006518F1">
              <w:rPr>
                <w:rFonts w:cs="Arial"/>
              </w:rPr>
              <w:t xml:space="preserve"> must </w:t>
            </w:r>
            <w:r w:rsidR="0036209D">
              <w:rPr>
                <w:rFonts w:cs="Arial"/>
              </w:rPr>
              <w:t xml:space="preserve">be able to </w:t>
            </w:r>
            <w:r w:rsidRPr="006518F1">
              <w:rPr>
                <w:rFonts w:cs="Arial"/>
              </w:rPr>
              <w:t xml:space="preserve">provide onsite biometric screenings for any employer group </w:t>
            </w:r>
            <w:r w:rsidR="004B54B9">
              <w:rPr>
                <w:rFonts w:cs="Arial"/>
              </w:rPr>
              <w:t xml:space="preserve">that will be </w:t>
            </w:r>
            <w:r w:rsidRPr="006518F1">
              <w:rPr>
                <w:rFonts w:cs="Arial"/>
              </w:rPr>
              <w:t xml:space="preserve">able to obtain a minimum of </w:t>
            </w:r>
            <w:r w:rsidR="007B165A">
              <w:rPr>
                <w:rFonts w:cs="Arial"/>
              </w:rPr>
              <w:t>twenty (</w:t>
            </w:r>
            <w:r w:rsidRPr="006518F1">
              <w:rPr>
                <w:rFonts w:cs="Arial"/>
              </w:rPr>
              <w:t>20</w:t>
            </w:r>
            <w:r w:rsidR="007B165A">
              <w:rPr>
                <w:rFonts w:cs="Arial"/>
              </w:rPr>
              <w:t>)</w:t>
            </w:r>
            <w:r w:rsidRPr="006518F1">
              <w:rPr>
                <w:rFonts w:cs="Arial"/>
              </w:rPr>
              <w:t xml:space="preserve"> participants for one </w:t>
            </w:r>
            <w:r w:rsidR="007B165A">
              <w:rPr>
                <w:rFonts w:cs="Arial"/>
              </w:rPr>
              <w:t xml:space="preserve">(1) </w:t>
            </w:r>
            <w:r w:rsidRPr="006518F1">
              <w:rPr>
                <w:rFonts w:cs="Arial"/>
              </w:rPr>
              <w:t>event.</w:t>
            </w:r>
          </w:p>
          <w:p w14:paraId="238C551F" w14:textId="331E1C9B" w:rsidR="00A1130B" w:rsidRPr="00A1130B" w:rsidRDefault="00A1130B" w:rsidP="00F01E1A">
            <w:pPr>
              <w:pStyle w:val="LRWLBodyText"/>
              <w:numPr>
                <w:ilvl w:val="0"/>
                <w:numId w:val="34"/>
              </w:numPr>
            </w:pPr>
            <w:r>
              <w:rPr>
                <w:rFonts w:cs="Arial"/>
              </w:rPr>
              <w:t xml:space="preserve">The </w:t>
            </w:r>
            <w:r w:rsidR="00A146AC">
              <w:rPr>
                <w:rFonts w:cs="Arial"/>
              </w:rPr>
              <w:t>Contractor</w:t>
            </w:r>
            <w:r w:rsidRPr="006518F1">
              <w:rPr>
                <w:rFonts w:cs="Arial"/>
              </w:rPr>
              <w:t xml:space="preserve"> must conduct </w:t>
            </w:r>
            <w:r w:rsidR="00AB7627">
              <w:rPr>
                <w:rFonts w:cs="Arial"/>
              </w:rPr>
              <w:t xml:space="preserve">quarterly </w:t>
            </w:r>
            <w:r w:rsidRPr="006518F1">
              <w:rPr>
                <w:rFonts w:cs="Arial"/>
              </w:rPr>
              <w:t>outreach to eligible employer groups to assist with scheduling screening events.</w:t>
            </w:r>
          </w:p>
          <w:p w14:paraId="745B9F2A" w14:textId="138422D5" w:rsidR="00A1130B" w:rsidRPr="00A1130B" w:rsidRDefault="00A1130B" w:rsidP="00F01E1A">
            <w:pPr>
              <w:pStyle w:val="LRWLBodyText"/>
              <w:numPr>
                <w:ilvl w:val="0"/>
                <w:numId w:val="34"/>
              </w:numPr>
            </w:pPr>
            <w:r w:rsidRPr="006518F1">
              <w:rPr>
                <w:rFonts w:cs="Arial"/>
              </w:rPr>
              <w:t xml:space="preserve">Employer groups </w:t>
            </w:r>
            <w:r w:rsidR="006A7F14">
              <w:rPr>
                <w:rFonts w:cs="Arial"/>
              </w:rPr>
              <w:t xml:space="preserve">holding events in </w:t>
            </w:r>
            <w:r w:rsidRPr="006518F1">
              <w:rPr>
                <w:rFonts w:cs="Arial"/>
              </w:rPr>
              <w:t xml:space="preserve">secure </w:t>
            </w:r>
            <w:r w:rsidR="006A7F14">
              <w:rPr>
                <w:rFonts w:cs="Arial"/>
              </w:rPr>
              <w:t xml:space="preserve">areas of </w:t>
            </w:r>
            <w:r w:rsidR="00F60143">
              <w:rPr>
                <w:rFonts w:cs="Arial"/>
              </w:rPr>
              <w:t>a</w:t>
            </w:r>
            <w:r w:rsidR="006A7F14">
              <w:rPr>
                <w:rFonts w:cs="Arial"/>
              </w:rPr>
              <w:t xml:space="preserve"> </w:t>
            </w:r>
            <w:r w:rsidRPr="006518F1">
              <w:rPr>
                <w:rFonts w:cs="Arial"/>
              </w:rPr>
              <w:t>facilit</w:t>
            </w:r>
            <w:r w:rsidR="006A7F14">
              <w:rPr>
                <w:rFonts w:cs="Arial"/>
              </w:rPr>
              <w:t>y</w:t>
            </w:r>
            <w:r w:rsidRPr="006518F1">
              <w:rPr>
                <w:rFonts w:cs="Arial"/>
              </w:rPr>
              <w:t xml:space="preserve"> reserve the right to limit screening </w:t>
            </w:r>
            <w:r w:rsidR="00AB7627">
              <w:rPr>
                <w:rFonts w:cs="Arial"/>
              </w:rPr>
              <w:t>registration</w:t>
            </w:r>
            <w:r w:rsidR="004B54B9">
              <w:rPr>
                <w:rFonts w:cs="Arial"/>
              </w:rPr>
              <w:t xml:space="preserve"> and participation</w:t>
            </w:r>
            <w:r w:rsidR="00AB7627">
              <w:rPr>
                <w:rFonts w:cs="Arial"/>
              </w:rPr>
              <w:t xml:space="preserve"> </w:t>
            </w:r>
            <w:r w:rsidRPr="006518F1">
              <w:rPr>
                <w:rFonts w:cs="Arial"/>
              </w:rPr>
              <w:t>to employees</w:t>
            </w:r>
            <w:r w:rsidR="00AB7627">
              <w:rPr>
                <w:rFonts w:cs="Arial"/>
              </w:rPr>
              <w:t xml:space="preserve"> of that facility</w:t>
            </w:r>
            <w:r w:rsidR="00CC3E22">
              <w:rPr>
                <w:rFonts w:cs="Arial"/>
              </w:rPr>
              <w:t>.</w:t>
            </w:r>
            <w:r w:rsidRPr="006518F1">
              <w:rPr>
                <w:rFonts w:cs="Arial"/>
              </w:rPr>
              <w:t xml:space="preserve"> </w:t>
            </w:r>
          </w:p>
          <w:p w14:paraId="78FE48B2" w14:textId="77777777" w:rsidR="00A14552" w:rsidRDefault="00A1130B" w:rsidP="00F01E1A">
            <w:pPr>
              <w:pStyle w:val="LRWLBodyText"/>
              <w:numPr>
                <w:ilvl w:val="0"/>
                <w:numId w:val="34"/>
              </w:numPr>
            </w:pPr>
            <w:r>
              <w:t>Coordination must include</w:t>
            </w:r>
            <w:r w:rsidR="00A14552">
              <w:t>:</w:t>
            </w:r>
          </w:p>
          <w:p w14:paraId="1655D088" w14:textId="4F390A2A" w:rsidR="00A1130B" w:rsidRDefault="00255B0F" w:rsidP="00F01E1A">
            <w:pPr>
              <w:pStyle w:val="LRWLBodyText"/>
              <w:numPr>
                <w:ilvl w:val="1"/>
                <w:numId w:val="34"/>
              </w:numPr>
            </w:pPr>
            <w:r>
              <w:t>Hosting a</w:t>
            </w:r>
            <w:r w:rsidR="00A1130B">
              <w:t>t least one (1) p</w:t>
            </w:r>
            <w:r w:rsidR="00A14552">
              <w:t>lanning call prior to the event,</w:t>
            </w:r>
            <w:r>
              <w:t xml:space="preserve"> between the </w:t>
            </w:r>
            <w:r w:rsidR="00A146AC">
              <w:t>Contractor</w:t>
            </w:r>
            <w:r>
              <w:t xml:space="preserve"> and the </w:t>
            </w:r>
            <w:r w:rsidR="00CC3E22">
              <w:t xml:space="preserve">employer group </w:t>
            </w:r>
            <w:r>
              <w:t>site coordinator(s)</w:t>
            </w:r>
            <w:r w:rsidR="00ED690F">
              <w:t>;</w:t>
            </w:r>
          </w:p>
          <w:p w14:paraId="7C38E86F" w14:textId="5A47BD5B" w:rsidR="00A14552" w:rsidRDefault="00A14552" w:rsidP="00F01E1A">
            <w:pPr>
              <w:pStyle w:val="ListParagraph"/>
              <w:numPr>
                <w:ilvl w:val="1"/>
                <w:numId w:val="34"/>
              </w:numPr>
              <w:rPr>
                <w:rFonts w:eastAsia="Times New Roman"/>
                <w:caps w:val="0"/>
                <w:noProof w:val="0"/>
              </w:rPr>
            </w:pPr>
            <w:r>
              <w:rPr>
                <w:rFonts w:eastAsia="Times New Roman"/>
                <w:caps w:val="0"/>
                <w:noProof w:val="0"/>
              </w:rPr>
              <w:t xml:space="preserve">The </w:t>
            </w:r>
            <w:r w:rsidR="00A146AC">
              <w:rPr>
                <w:rFonts w:eastAsia="Times New Roman"/>
                <w:caps w:val="0"/>
                <w:noProof w:val="0"/>
              </w:rPr>
              <w:t>Contractor</w:t>
            </w:r>
            <w:r>
              <w:rPr>
                <w:rFonts w:eastAsia="Times New Roman"/>
                <w:caps w:val="0"/>
                <w:noProof w:val="0"/>
              </w:rPr>
              <w:t xml:space="preserve"> providing event specific </w:t>
            </w:r>
            <w:r w:rsidRPr="006518F1">
              <w:rPr>
                <w:rFonts w:cs="Arial"/>
                <w:caps w:val="0"/>
              </w:rPr>
              <w:t>promotion</w:t>
            </w:r>
            <w:r>
              <w:rPr>
                <w:rFonts w:cs="Arial"/>
                <w:caps w:val="0"/>
              </w:rPr>
              <w:t>al material which</w:t>
            </w:r>
            <w:r w:rsidRPr="006518F1">
              <w:rPr>
                <w:rFonts w:cs="Arial"/>
                <w:caps w:val="0"/>
              </w:rPr>
              <w:t xml:space="preserve">, at a minimum, </w:t>
            </w:r>
            <w:r>
              <w:rPr>
                <w:rFonts w:cs="Arial"/>
                <w:caps w:val="0"/>
              </w:rPr>
              <w:t xml:space="preserve">is </w:t>
            </w:r>
            <w:r w:rsidRPr="006518F1">
              <w:rPr>
                <w:rFonts w:cs="Arial"/>
                <w:caps w:val="0"/>
              </w:rPr>
              <w:t>an event flyer</w:t>
            </w:r>
            <w:r>
              <w:rPr>
                <w:rFonts w:cs="Arial"/>
                <w:caps w:val="0"/>
              </w:rPr>
              <w:t xml:space="preserve"> (provided in PDF format)</w:t>
            </w:r>
            <w:r w:rsidRPr="006518F1">
              <w:rPr>
                <w:rFonts w:cs="Arial"/>
                <w:caps w:val="0"/>
              </w:rPr>
              <w:t xml:space="preserve"> listing event and registration details</w:t>
            </w:r>
            <w:r w:rsidR="00ED690F">
              <w:rPr>
                <w:rFonts w:cs="Arial"/>
                <w:caps w:val="0"/>
              </w:rPr>
              <w:t>;</w:t>
            </w:r>
          </w:p>
          <w:p w14:paraId="0097D954" w14:textId="24B0616E" w:rsidR="00A14552" w:rsidRDefault="00A14552" w:rsidP="00F01E1A">
            <w:pPr>
              <w:pStyle w:val="ListParagraph"/>
              <w:numPr>
                <w:ilvl w:val="1"/>
                <w:numId w:val="34"/>
              </w:numPr>
              <w:rPr>
                <w:rFonts w:eastAsia="Times New Roman"/>
                <w:caps w:val="0"/>
                <w:noProof w:val="0"/>
              </w:rPr>
            </w:pPr>
            <w:r>
              <w:rPr>
                <w:rFonts w:eastAsia="Times New Roman"/>
                <w:caps w:val="0"/>
                <w:noProof w:val="0"/>
              </w:rPr>
              <w:t xml:space="preserve">The </w:t>
            </w:r>
            <w:r w:rsidR="00A146AC">
              <w:rPr>
                <w:rFonts w:eastAsia="Times New Roman"/>
                <w:caps w:val="0"/>
                <w:noProof w:val="0"/>
              </w:rPr>
              <w:t>Contractor</w:t>
            </w:r>
            <w:r>
              <w:rPr>
                <w:rFonts w:eastAsia="Times New Roman"/>
                <w:caps w:val="0"/>
                <w:noProof w:val="0"/>
              </w:rPr>
              <w:t xml:space="preserve"> will provide the site coordinator with weekly registration updates for the four (4) weeks prior to the event</w:t>
            </w:r>
            <w:r w:rsidR="00DC10EC">
              <w:rPr>
                <w:rFonts w:eastAsia="Times New Roman"/>
                <w:caps w:val="0"/>
                <w:noProof w:val="0"/>
              </w:rPr>
              <w:t xml:space="preserve"> and assist </w:t>
            </w:r>
            <w:r w:rsidR="004B54B9">
              <w:rPr>
                <w:rFonts w:eastAsia="Times New Roman"/>
                <w:caps w:val="0"/>
                <w:noProof w:val="0"/>
              </w:rPr>
              <w:t xml:space="preserve">the site </w:t>
            </w:r>
            <w:r w:rsidR="004B54B9">
              <w:rPr>
                <w:rFonts w:eastAsia="Times New Roman"/>
                <w:caps w:val="0"/>
                <w:noProof w:val="0"/>
              </w:rPr>
              <w:lastRenderedPageBreak/>
              <w:t xml:space="preserve">coordinator </w:t>
            </w:r>
            <w:r w:rsidR="00DC10EC">
              <w:rPr>
                <w:rFonts w:eastAsia="Times New Roman"/>
                <w:caps w:val="0"/>
                <w:noProof w:val="0"/>
              </w:rPr>
              <w:t>with determining adjustments to the number of registrations a</w:t>
            </w:r>
            <w:r w:rsidR="004B54B9">
              <w:rPr>
                <w:rFonts w:eastAsia="Times New Roman"/>
                <w:caps w:val="0"/>
                <w:noProof w:val="0"/>
              </w:rPr>
              <w:t>vailable</w:t>
            </w:r>
            <w:r w:rsidR="00ED690F">
              <w:rPr>
                <w:rFonts w:eastAsia="Times New Roman"/>
                <w:caps w:val="0"/>
                <w:noProof w:val="0"/>
              </w:rPr>
              <w:t xml:space="preserve">; </w:t>
            </w:r>
          </w:p>
          <w:p w14:paraId="7A6F4023" w14:textId="1D968E15" w:rsidR="009D5C90" w:rsidRPr="004A3D4C" w:rsidRDefault="009D5C90" w:rsidP="00F01E1A">
            <w:pPr>
              <w:pStyle w:val="ListParagraph"/>
              <w:numPr>
                <w:ilvl w:val="1"/>
                <w:numId w:val="34"/>
              </w:numPr>
              <w:rPr>
                <w:rFonts w:eastAsia="Times New Roman"/>
                <w:caps w:val="0"/>
                <w:noProof w:val="0"/>
              </w:rPr>
            </w:pPr>
            <w:r w:rsidRPr="004A3D4C">
              <w:rPr>
                <w:rFonts w:eastAsia="Times New Roman"/>
                <w:caps w:val="0"/>
                <w:noProof w:val="0"/>
              </w:rPr>
              <w:t xml:space="preserve">The </w:t>
            </w:r>
            <w:r w:rsidR="00A146AC">
              <w:rPr>
                <w:rFonts w:eastAsia="Times New Roman"/>
                <w:caps w:val="0"/>
                <w:noProof w:val="0"/>
              </w:rPr>
              <w:t>Contractor</w:t>
            </w:r>
            <w:r w:rsidRPr="004A3D4C">
              <w:rPr>
                <w:rFonts w:eastAsia="Times New Roman"/>
                <w:caps w:val="0"/>
                <w:noProof w:val="0"/>
              </w:rPr>
              <w:t xml:space="preserve"> must allow the site coordinator for the employer group to increase or decrease the projected attendance for the event up to seven (7) Days prior to the event;</w:t>
            </w:r>
          </w:p>
          <w:p w14:paraId="5700F878" w14:textId="36B5C44B" w:rsidR="0036209D" w:rsidRPr="00CC7FD3" w:rsidRDefault="00FE23C9" w:rsidP="00F01E1A">
            <w:pPr>
              <w:pStyle w:val="ListParagraph"/>
              <w:numPr>
                <w:ilvl w:val="1"/>
                <w:numId w:val="34"/>
              </w:numPr>
              <w:rPr>
                <w:rFonts w:cs="Arial"/>
                <w:caps w:val="0"/>
              </w:rPr>
            </w:pPr>
            <w:r>
              <w:rPr>
                <w:rFonts w:cs="Arial"/>
                <w:caps w:val="0"/>
              </w:rPr>
              <w:t xml:space="preserve">The Contractor must ensure </w:t>
            </w:r>
            <w:r w:rsidR="00E91E24">
              <w:rPr>
                <w:rFonts w:cs="Arial"/>
                <w:caps w:val="0"/>
              </w:rPr>
              <w:t xml:space="preserve">that screening supplies meet the capacity of the event. </w:t>
            </w:r>
            <w:r w:rsidR="0036209D">
              <w:rPr>
                <w:rFonts w:cs="Arial"/>
                <w:caps w:val="0"/>
              </w:rPr>
              <w:t xml:space="preserve">If </w:t>
            </w:r>
            <w:r w:rsidR="00E4087E">
              <w:rPr>
                <w:rFonts w:cs="Arial"/>
                <w:caps w:val="0"/>
              </w:rPr>
              <w:t xml:space="preserve">the </w:t>
            </w:r>
            <w:r w:rsidR="00A146AC">
              <w:rPr>
                <w:rFonts w:cs="Arial"/>
                <w:caps w:val="0"/>
              </w:rPr>
              <w:t>Contractor</w:t>
            </w:r>
            <w:r w:rsidR="0036209D">
              <w:rPr>
                <w:rFonts w:cs="Arial"/>
                <w:caps w:val="0"/>
              </w:rPr>
              <w:t xml:space="preserve"> wants to ship event supplies to a facility</w:t>
            </w:r>
            <w:r w:rsidR="00E4087E">
              <w:rPr>
                <w:rFonts w:cs="Arial"/>
                <w:caps w:val="0"/>
              </w:rPr>
              <w:t xml:space="preserve"> prior to the event date</w:t>
            </w:r>
            <w:r w:rsidR="0036209D">
              <w:rPr>
                <w:rFonts w:cs="Arial"/>
                <w:caps w:val="0"/>
              </w:rPr>
              <w:t xml:space="preserve">, </w:t>
            </w:r>
            <w:r w:rsidR="00E4087E">
              <w:rPr>
                <w:rFonts w:cs="Arial"/>
                <w:caps w:val="0"/>
              </w:rPr>
              <w:t xml:space="preserve">the </w:t>
            </w:r>
            <w:r w:rsidR="00A146AC">
              <w:rPr>
                <w:rFonts w:cs="Arial"/>
                <w:caps w:val="0"/>
              </w:rPr>
              <w:t>Contractor</w:t>
            </w:r>
            <w:r w:rsidR="00CC7FD3">
              <w:rPr>
                <w:rFonts w:cs="Arial"/>
                <w:caps w:val="0"/>
              </w:rPr>
              <w:t xml:space="preserve"> must, prior to any shipment, </w:t>
            </w:r>
            <w:r w:rsidR="0036209D">
              <w:rPr>
                <w:rFonts w:cs="Arial"/>
                <w:caps w:val="0"/>
              </w:rPr>
              <w:t xml:space="preserve">coordinate with the site coordinator to determine if shipments can be accepted at </w:t>
            </w:r>
            <w:r w:rsidR="00CC7FD3">
              <w:rPr>
                <w:rFonts w:cs="Arial"/>
                <w:caps w:val="0"/>
              </w:rPr>
              <w:t>the</w:t>
            </w:r>
            <w:r w:rsidR="0036209D">
              <w:rPr>
                <w:rFonts w:cs="Arial"/>
                <w:caps w:val="0"/>
              </w:rPr>
              <w:t xml:space="preserve"> facility</w:t>
            </w:r>
            <w:r w:rsidR="00CC7FD3">
              <w:rPr>
                <w:rFonts w:cs="Arial"/>
                <w:caps w:val="0"/>
              </w:rPr>
              <w:t>, the correct mailing address, and the timing of such shipment</w:t>
            </w:r>
            <w:r w:rsidR="009D5C90">
              <w:rPr>
                <w:rFonts w:cs="Arial"/>
                <w:caps w:val="0"/>
              </w:rPr>
              <w:t xml:space="preserve">; </w:t>
            </w:r>
          </w:p>
          <w:p w14:paraId="384E2984" w14:textId="0155BD13" w:rsidR="00CC7FD3" w:rsidRDefault="00CC7FD3" w:rsidP="00F01E1A">
            <w:pPr>
              <w:pStyle w:val="ListParagraph"/>
              <w:numPr>
                <w:ilvl w:val="1"/>
                <w:numId w:val="34"/>
              </w:numPr>
              <w:rPr>
                <w:rFonts w:cs="Arial"/>
                <w:caps w:val="0"/>
              </w:rPr>
            </w:pPr>
            <w:r>
              <w:rPr>
                <w:rFonts w:cs="Arial"/>
                <w:caps w:val="0"/>
              </w:rPr>
              <w:t xml:space="preserve">The </w:t>
            </w:r>
            <w:r w:rsidR="00A146AC">
              <w:rPr>
                <w:rFonts w:cs="Arial"/>
                <w:caps w:val="0"/>
              </w:rPr>
              <w:t>Contractor</w:t>
            </w:r>
            <w:r>
              <w:rPr>
                <w:rFonts w:cs="Arial"/>
                <w:caps w:val="0"/>
              </w:rPr>
              <w:t xml:space="preserve"> must provide a back-up plan</w:t>
            </w:r>
            <w:r w:rsidR="007F5213">
              <w:rPr>
                <w:rFonts w:cs="Arial"/>
                <w:caps w:val="0"/>
              </w:rPr>
              <w:t xml:space="preserve"> for each site coordinator</w:t>
            </w:r>
            <w:r>
              <w:rPr>
                <w:rFonts w:cs="Arial"/>
                <w:caps w:val="0"/>
              </w:rPr>
              <w:t>, which includes phone numbers, in case clinicians scheduled for an event are a “no show</w:t>
            </w:r>
            <w:r w:rsidR="004B54B9">
              <w:rPr>
                <w:rFonts w:cs="Arial"/>
                <w:caps w:val="0"/>
              </w:rPr>
              <w:t>”; and</w:t>
            </w:r>
          </w:p>
          <w:p w14:paraId="26BA423B" w14:textId="30BA2923" w:rsidR="004B54B9" w:rsidRDefault="004B54B9" w:rsidP="00F01E1A">
            <w:pPr>
              <w:pStyle w:val="ListParagraph"/>
              <w:numPr>
                <w:ilvl w:val="1"/>
                <w:numId w:val="34"/>
              </w:numPr>
              <w:rPr>
                <w:rFonts w:cs="Arial"/>
                <w:caps w:val="0"/>
              </w:rPr>
            </w:pPr>
            <w:r w:rsidRPr="004B54B9">
              <w:rPr>
                <w:rFonts w:cs="Arial"/>
                <w:caps w:val="0"/>
              </w:rPr>
              <w:t xml:space="preserve">The </w:t>
            </w:r>
            <w:r w:rsidR="00A146AC">
              <w:rPr>
                <w:rFonts w:cs="Arial"/>
                <w:caps w:val="0"/>
              </w:rPr>
              <w:t>Contractor</w:t>
            </w:r>
            <w:r w:rsidRPr="004B54B9">
              <w:rPr>
                <w:rFonts w:cs="Arial"/>
                <w:caps w:val="0"/>
              </w:rPr>
              <w:t xml:space="preserve"> must provide all site coordinators with a satisfaction survey within seven (7) Days after the date of the event. The survey must use a five (5)-point rating scale and content must be approved by the ETF Progra</w:t>
            </w:r>
            <w:r>
              <w:rPr>
                <w:rFonts w:cs="Arial"/>
                <w:caps w:val="0"/>
              </w:rPr>
              <w:t>m Manager prior to distribution.</w:t>
            </w:r>
          </w:p>
          <w:p w14:paraId="18F9EB2F" w14:textId="2DFE4B51" w:rsidR="00A1130B" w:rsidRDefault="001177A7" w:rsidP="00F01E1A">
            <w:pPr>
              <w:pStyle w:val="LRWLBodyText"/>
              <w:numPr>
                <w:ilvl w:val="0"/>
                <w:numId w:val="34"/>
              </w:numPr>
            </w:pPr>
            <w:r>
              <w:t xml:space="preserve">Screening staff must arrive at least two </w:t>
            </w:r>
            <w:r>
              <w:rPr>
                <w:caps/>
              </w:rPr>
              <w:t>(2</w:t>
            </w:r>
            <w:r>
              <w:t>) hours</w:t>
            </w:r>
            <w:r>
              <w:rPr>
                <w:caps/>
              </w:rPr>
              <w:t xml:space="preserve"> </w:t>
            </w:r>
            <w:r>
              <w:t>prior to the event start time</w:t>
            </w:r>
            <w:r>
              <w:rPr>
                <w:caps/>
              </w:rPr>
              <w:t xml:space="preserve"> </w:t>
            </w:r>
            <w:r>
              <w:t xml:space="preserve">and manage event set-up and check-in of registered </w:t>
            </w:r>
            <w:r w:rsidR="006706E1">
              <w:t>P</w:t>
            </w:r>
            <w:r>
              <w:t>articipants.</w:t>
            </w:r>
          </w:p>
        </w:tc>
      </w:tr>
      <w:tr w:rsidR="00247A48" w14:paraId="068A3325" w14:textId="77777777" w:rsidTr="0059128F">
        <w:tc>
          <w:tcPr>
            <w:tcW w:w="535" w:type="dxa"/>
          </w:tcPr>
          <w:p w14:paraId="5B25BB7A" w14:textId="2F02984D" w:rsidR="00247A48" w:rsidRDefault="00247A48" w:rsidP="00F01E1A">
            <w:pPr>
              <w:pStyle w:val="ListParagraph"/>
              <w:numPr>
                <w:ilvl w:val="0"/>
                <w:numId w:val="40"/>
              </w:numPr>
            </w:pPr>
          </w:p>
        </w:tc>
        <w:tc>
          <w:tcPr>
            <w:tcW w:w="8815" w:type="dxa"/>
          </w:tcPr>
          <w:p w14:paraId="51961AAD" w14:textId="71005F64" w:rsidR="00247A48" w:rsidRPr="006518F1" w:rsidRDefault="00FB5E70" w:rsidP="00E46012">
            <w:pPr>
              <w:rPr>
                <w:rFonts w:ascii="Arial" w:hAnsi="Arial" w:cs="Arial"/>
              </w:rPr>
            </w:pPr>
            <w:r>
              <w:rPr>
                <w:rFonts w:ascii="Arial" w:hAnsi="Arial" w:cs="Arial"/>
              </w:rPr>
              <w:t xml:space="preserve">The </w:t>
            </w:r>
            <w:r w:rsidR="00A146AC">
              <w:rPr>
                <w:rFonts w:ascii="Arial" w:hAnsi="Arial" w:cs="Arial"/>
              </w:rPr>
              <w:t>Contractor</w:t>
            </w:r>
            <w:r w:rsidR="00247A48" w:rsidRPr="006518F1">
              <w:rPr>
                <w:rFonts w:ascii="Arial" w:hAnsi="Arial" w:cs="Arial"/>
              </w:rPr>
              <w:t xml:space="preserve"> must provide a Participant registration system</w:t>
            </w:r>
            <w:r w:rsidR="0092212A">
              <w:rPr>
                <w:rFonts w:ascii="Arial" w:hAnsi="Arial" w:cs="Arial"/>
              </w:rPr>
              <w:t xml:space="preserve">, </w:t>
            </w:r>
            <w:r w:rsidR="0092212A" w:rsidRPr="006518F1">
              <w:rPr>
                <w:rFonts w:ascii="Arial" w:hAnsi="Arial" w:cs="Arial"/>
              </w:rPr>
              <w:t xml:space="preserve">accessible </w:t>
            </w:r>
            <w:r w:rsidR="0092212A">
              <w:rPr>
                <w:rFonts w:ascii="Arial" w:hAnsi="Arial" w:cs="Arial"/>
              </w:rPr>
              <w:t xml:space="preserve">within the </w:t>
            </w:r>
            <w:r w:rsidR="008C379A">
              <w:rPr>
                <w:rFonts w:ascii="Arial" w:hAnsi="Arial" w:cs="Arial"/>
              </w:rPr>
              <w:t>web-portal</w:t>
            </w:r>
            <w:r w:rsidR="0092212A">
              <w:rPr>
                <w:rFonts w:ascii="Arial" w:hAnsi="Arial" w:cs="Arial"/>
              </w:rPr>
              <w:t xml:space="preserve"> </w:t>
            </w:r>
            <w:r w:rsidR="0092212A" w:rsidRPr="006518F1">
              <w:rPr>
                <w:rFonts w:ascii="Arial" w:hAnsi="Arial" w:cs="Arial"/>
              </w:rPr>
              <w:t xml:space="preserve">and </w:t>
            </w:r>
            <w:r w:rsidR="0092212A">
              <w:rPr>
                <w:rFonts w:ascii="Arial" w:hAnsi="Arial" w:cs="Arial"/>
              </w:rPr>
              <w:t xml:space="preserve">via the </w:t>
            </w:r>
            <w:r w:rsidR="00A146AC">
              <w:rPr>
                <w:rFonts w:ascii="Arial" w:hAnsi="Arial" w:cs="Arial"/>
              </w:rPr>
              <w:t>Contractor</w:t>
            </w:r>
            <w:r w:rsidR="0092212A">
              <w:rPr>
                <w:rFonts w:ascii="Arial" w:hAnsi="Arial" w:cs="Arial"/>
              </w:rPr>
              <w:t xml:space="preserve"> customer service toll free </w:t>
            </w:r>
            <w:r w:rsidR="009D4FF8">
              <w:rPr>
                <w:rFonts w:ascii="Arial" w:hAnsi="Arial" w:cs="Arial"/>
              </w:rPr>
              <w:t>number, which</w:t>
            </w:r>
            <w:r w:rsidR="00247A48" w:rsidRPr="006518F1">
              <w:rPr>
                <w:rFonts w:ascii="Arial" w:hAnsi="Arial" w:cs="Arial"/>
              </w:rPr>
              <w:t xml:space="preserve"> verifi</w:t>
            </w:r>
            <w:r w:rsidR="0092212A">
              <w:rPr>
                <w:rFonts w:ascii="Arial" w:hAnsi="Arial" w:cs="Arial"/>
              </w:rPr>
              <w:t>es</w:t>
            </w:r>
            <w:r w:rsidR="00247A48" w:rsidRPr="006518F1">
              <w:rPr>
                <w:rFonts w:ascii="Arial" w:hAnsi="Arial" w:cs="Arial"/>
              </w:rPr>
              <w:t xml:space="preserve"> program eligibility prior to the screening. The registration system must provide the Participant with an e-mail confirmation and </w:t>
            </w:r>
            <w:r w:rsidR="0092212A">
              <w:rPr>
                <w:rFonts w:ascii="Arial" w:hAnsi="Arial" w:cs="Arial"/>
              </w:rPr>
              <w:t xml:space="preserve">at least two (2) </w:t>
            </w:r>
            <w:r w:rsidR="00247A48" w:rsidRPr="006518F1">
              <w:rPr>
                <w:rFonts w:ascii="Arial" w:hAnsi="Arial" w:cs="Arial"/>
              </w:rPr>
              <w:t>e-mail reminder</w:t>
            </w:r>
            <w:r w:rsidR="0092212A">
              <w:rPr>
                <w:rFonts w:ascii="Arial" w:hAnsi="Arial" w:cs="Arial"/>
              </w:rPr>
              <w:t>s</w:t>
            </w:r>
            <w:r w:rsidR="00247A48" w:rsidRPr="006518F1">
              <w:rPr>
                <w:rFonts w:ascii="Arial" w:hAnsi="Arial" w:cs="Arial"/>
              </w:rPr>
              <w:t xml:space="preserve"> of the scheduled biometric screening</w:t>
            </w:r>
            <w:r w:rsidR="00ED690F">
              <w:rPr>
                <w:rFonts w:ascii="Arial" w:hAnsi="Arial" w:cs="Arial"/>
              </w:rPr>
              <w:t>, with one (1) reminder being sent seven (7) Days prior to the event and a second being sent twenty-four (24) hours prior to the event.</w:t>
            </w:r>
            <w:r w:rsidR="00DC10EC">
              <w:rPr>
                <w:rFonts w:ascii="Arial" w:hAnsi="Arial" w:cs="Arial"/>
              </w:rPr>
              <w:t xml:space="preserve"> Registration for the event must remain open until twenty-four (24) hours prior to the event</w:t>
            </w:r>
            <w:r w:rsidR="006706E1">
              <w:rPr>
                <w:rFonts w:ascii="Arial" w:hAnsi="Arial" w:cs="Arial"/>
              </w:rPr>
              <w:t>.</w:t>
            </w:r>
          </w:p>
        </w:tc>
      </w:tr>
      <w:tr w:rsidR="00A1130B" w14:paraId="1621868D" w14:textId="77777777" w:rsidTr="0059128F">
        <w:tc>
          <w:tcPr>
            <w:tcW w:w="535" w:type="dxa"/>
          </w:tcPr>
          <w:p w14:paraId="16677B86" w14:textId="77777777" w:rsidR="00A1130B" w:rsidRDefault="00A1130B" w:rsidP="00F01E1A">
            <w:pPr>
              <w:pStyle w:val="ListParagraph"/>
              <w:numPr>
                <w:ilvl w:val="0"/>
                <w:numId w:val="40"/>
              </w:numPr>
            </w:pPr>
          </w:p>
        </w:tc>
        <w:tc>
          <w:tcPr>
            <w:tcW w:w="8815" w:type="dxa"/>
          </w:tcPr>
          <w:p w14:paraId="5D3E6F4E" w14:textId="63C0CC35" w:rsidR="00A1130B" w:rsidRDefault="0005128D" w:rsidP="00A1130B">
            <w:pPr>
              <w:rPr>
                <w:rFonts w:ascii="Arial" w:hAnsi="Arial" w:cs="Arial"/>
              </w:rPr>
            </w:pPr>
            <w:r>
              <w:rPr>
                <w:rFonts w:ascii="Arial" w:hAnsi="Arial" w:cs="Arial"/>
              </w:rPr>
              <w:t>The</w:t>
            </w:r>
            <w:r w:rsidR="00406343">
              <w:rPr>
                <w:rFonts w:ascii="Arial" w:hAnsi="Arial" w:cs="Arial"/>
              </w:rPr>
              <w:t xml:space="preserve"> </w:t>
            </w:r>
            <w:r w:rsidR="00A146AC">
              <w:rPr>
                <w:rFonts w:ascii="Arial" w:hAnsi="Arial" w:cs="Arial"/>
              </w:rPr>
              <w:t>Contractor</w:t>
            </w:r>
            <w:r w:rsidR="00406343">
              <w:rPr>
                <w:rFonts w:ascii="Arial" w:hAnsi="Arial" w:cs="Arial"/>
              </w:rPr>
              <w:t xml:space="preserve"> must be able to </w:t>
            </w:r>
            <w:r w:rsidR="00A146AC">
              <w:rPr>
                <w:rFonts w:ascii="Arial" w:hAnsi="Arial" w:cs="Arial"/>
              </w:rPr>
              <w:t xml:space="preserve">provide </w:t>
            </w:r>
            <w:r>
              <w:rPr>
                <w:rFonts w:ascii="Arial" w:hAnsi="Arial" w:cs="Arial"/>
              </w:rPr>
              <w:t>b</w:t>
            </w:r>
            <w:r w:rsidR="00A1130B" w:rsidRPr="006518F1">
              <w:rPr>
                <w:rFonts w:ascii="Arial" w:hAnsi="Arial" w:cs="Arial"/>
              </w:rPr>
              <w:t>iometric screening</w:t>
            </w:r>
            <w:r w:rsidR="00406343">
              <w:rPr>
                <w:rFonts w:ascii="Arial" w:hAnsi="Arial" w:cs="Arial"/>
              </w:rPr>
              <w:t xml:space="preserve">s that </w:t>
            </w:r>
            <w:r w:rsidR="00A1130B" w:rsidRPr="006518F1">
              <w:rPr>
                <w:rFonts w:ascii="Arial" w:hAnsi="Arial" w:cs="Arial"/>
              </w:rPr>
              <w:t>include test</w:t>
            </w:r>
            <w:r w:rsidR="0092212A">
              <w:rPr>
                <w:rFonts w:ascii="Arial" w:hAnsi="Arial" w:cs="Arial"/>
              </w:rPr>
              <w:t>s</w:t>
            </w:r>
            <w:r w:rsidR="00A1130B" w:rsidRPr="006518F1">
              <w:rPr>
                <w:rFonts w:ascii="Arial" w:hAnsi="Arial" w:cs="Arial"/>
              </w:rPr>
              <w:t xml:space="preserve"> to measure</w:t>
            </w:r>
            <w:r w:rsidR="00AF684A">
              <w:rPr>
                <w:rFonts w:ascii="Arial" w:hAnsi="Arial" w:cs="Arial"/>
              </w:rPr>
              <w:t>:</w:t>
            </w:r>
          </w:p>
          <w:p w14:paraId="372F907C" w14:textId="6796748A" w:rsidR="00A1130B" w:rsidRDefault="00406343" w:rsidP="00F01E1A">
            <w:pPr>
              <w:pStyle w:val="LRWLBodyText"/>
              <w:numPr>
                <w:ilvl w:val="0"/>
                <w:numId w:val="35"/>
              </w:numPr>
              <w:rPr>
                <w:rFonts w:cs="Arial"/>
              </w:rPr>
            </w:pPr>
            <w:r>
              <w:rPr>
                <w:rFonts w:cs="Arial"/>
              </w:rPr>
              <w:t>Body Mass Index based on h</w:t>
            </w:r>
            <w:r w:rsidR="00A1130B">
              <w:rPr>
                <w:rFonts w:cs="Arial"/>
              </w:rPr>
              <w:t>eight</w:t>
            </w:r>
            <w:r>
              <w:rPr>
                <w:rFonts w:cs="Arial"/>
              </w:rPr>
              <w:t xml:space="preserve"> and weight</w:t>
            </w:r>
            <w:r w:rsidR="00120831">
              <w:rPr>
                <w:rFonts w:cs="Arial"/>
              </w:rPr>
              <w:t xml:space="preserve"> or </w:t>
            </w:r>
            <w:r w:rsidR="00120831">
              <w:t xml:space="preserve">other body fat measurement method if prior approval </w:t>
            </w:r>
            <w:r w:rsidR="006706E1">
              <w:t xml:space="preserve">is </w:t>
            </w:r>
            <w:r w:rsidR="00120831">
              <w:t>received from the ETF Program Manager</w:t>
            </w:r>
            <w:r w:rsidR="00AF684A">
              <w:rPr>
                <w:rFonts w:cs="Arial"/>
              </w:rPr>
              <w:t>;</w:t>
            </w:r>
          </w:p>
          <w:p w14:paraId="7AC9037D" w14:textId="0C1BE876" w:rsidR="00A1130B" w:rsidRPr="00120D94" w:rsidRDefault="00A1130B" w:rsidP="00F01E1A">
            <w:pPr>
              <w:pStyle w:val="LRWLBodyText"/>
              <w:numPr>
                <w:ilvl w:val="0"/>
                <w:numId w:val="35"/>
              </w:numPr>
              <w:rPr>
                <w:rFonts w:cs="Arial"/>
              </w:rPr>
            </w:pPr>
            <w:r w:rsidRPr="00120D94">
              <w:rPr>
                <w:rFonts w:cs="Arial"/>
              </w:rPr>
              <w:t xml:space="preserve">Waist </w:t>
            </w:r>
            <w:r w:rsidR="00120831">
              <w:rPr>
                <w:rFonts w:cs="Arial"/>
              </w:rPr>
              <w:t>to Hip Ratio</w:t>
            </w:r>
            <w:r w:rsidR="00AF684A" w:rsidRPr="00120D94">
              <w:rPr>
                <w:rFonts w:cs="Arial"/>
              </w:rPr>
              <w:t>;</w:t>
            </w:r>
          </w:p>
          <w:p w14:paraId="14968FF5" w14:textId="2B4D5E70" w:rsidR="00A1130B" w:rsidRPr="00120D94" w:rsidRDefault="00A1130B" w:rsidP="00F01E1A">
            <w:pPr>
              <w:pStyle w:val="LRWLBodyText"/>
              <w:numPr>
                <w:ilvl w:val="0"/>
                <w:numId w:val="35"/>
              </w:numPr>
              <w:rPr>
                <w:rFonts w:cs="Arial"/>
              </w:rPr>
            </w:pPr>
            <w:r w:rsidRPr="00120D94">
              <w:rPr>
                <w:rFonts w:cs="Arial"/>
              </w:rPr>
              <w:t>Blood Pressure</w:t>
            </w:r>
            <w:r w:rsidR="00AF684A" w:rsidRPr="00120D94">
              <w:rPr>
                <w:rFonts w:cs="Arial"/>
              </w:rPr>
              <w:t>;</w:t>
            </w:r>
          </w:p>
          <w:p w14:paraId="0A0C82CB" w14:textId="77777777" w:rsidR="00120831" w:rsidRDefault="00A1130B" w:rsidP="00F01E1A">
            <w:pPr>
              <w:pStyle w:val="LRWLBodyText"/>
              <w:numPr>
                <w:ilvl w:val="0"/>
                <w:numId w:val="35"/>
              </w:numPr>
              <w:rPr>
                <w:rFonts w:cs="Arial"/>
              </w:rPr>
            </w:pPr>
            <w:r>
              <w:rPr>
                <w:rFonts w:cs="Arial"/>
              </w:rPr>
              <w:t>Blood Glucose</w:t>
            </w:r>
            <w:r w:rsidR="00120831">
              <w:rPr>
                <w:rFonts w:cs="Arial"/>
              </w:rPr>
              <w:t>;</w:t>
            </w:r>
          </w:p>
          <w:p w14:paraId="6F1D608D" w14:textId="43B04C26" w:rsidR="00A1130B" w:rsidRDefault="00120831" w:rsidP="00F01E1A">
            <w:pPr>
              <w:pStyle w:val="LRWLBodyText"/>
              <w:numPr>
                <w:ilvl w:val="0"/>
                <w:numId w:val="35"/>
              </w:numPr>
              <w:rPr>
                <w:rFonts w:cs="Arial"/>
              </w:rPr>
            </w:pPr>
            <w:r w:rsidRPr="006706E1">
              <w:rPr>
                <w:rFonts w:cs="Arial"/>
              </w:rPr>
              <w:t>Hemoglobin A1c</w:t>
            </w:r>
            <w:r w:rsidR="00AF684A">
              <w:rPr>
                <w:rFonts w:cs="Arial"/>
              </w:rPr>
              <w:t>;</w:t>
            </w:r>
          </w:p>
          <w:p w14:paraId="6C30A27E" w14:textId="1E3C4AC1" w:rsidR="00120831" w:rsidRDefault="00A1130B" w:rsidP="00F01E1A">
            <w:pPr>
              <w:pStyle w:val="LRWLBodyText"/>
              <w:numPr>
                <w:ilvl w:val="0"/>
                <w:numId w:val="35"/>
              </w:numPr>
              <w:rPr>
                <w:rFonts w:cs="Arial"/>
              </w:rPr>
            </w:pPr>
            <w:r>
              <w:rPr>
                <w:rFonts w:cs="Arial"/>
              </w:rPr>
              <w:t>Cholesterol</w:t>
            </w:r>
            <w:r w:rsidR="00120831">
              <w:rPr>
                <w:rFonts w:cs="Arial"/>
              </w:rPr>
              <w:t xml:space="preserve"> (</w:t>
            </w:r>
            <w:r w:rsidR="00120831" w:rsidRPr="00206C44">
              <w:rPr>
                <w:rFonts w:cs="Arial"/>
              </w:rPr>
              <w:t>total cholesterol, h</w:t>
            </w:r>
            <w:r w:rsidR="00120831" w:rsidRPr="006706E1">
              <w:rPr>
                <w:rFonts w:cs="Arial"/>
              </w:rPr>
              <w:t>igh-density lipoprotein</w:t>
            </w:r>
            <w:r w:rsidR="00120831" w:rsidRPr="00206C44">
              <w:rPr>
                <w:rFonts w:cs="Arial"/>
              </w:rPr>
              <w:t>, triglyceride and l</w:t>
            </w:r>
            <w:r w:rsidR="00120831" w:rsidRPr="006706E1">
              <w:rPr>
                <w:rFonts w:cs="Arial"/>
              </w:rPr>
              <w:t>ow-density lipoprotein</w:t>
            </w:r>
            <w:r w:rsidR="00120831" w:rsidRPr="00206C44">
              <w:rPr>
                <w:rFonts w:cs="Arial"/>
              </w:rPr>
              <w:t>)</w:t>
            </w:r>
            <w:r w:rsidR="00120831">
              <w:rPr>
                <w:rFonts w:cs="Arial"/>
              </w:rPr>
              <w:t>; and</w:t>
            </w:r>
          </w:p>
          <w:p w14:paraId="7DAC4CA7" w14:textId="5D662B3D" w:rsidR="00A1130B" w:rsidRDefault="00120831" w:rsidP="00F01E1A">
            <w:pPr>
              <w:pStyle w:val="LRWLBodyText"/>
              <w:numPr>
                <w:ilvl w:val="0"/>
                <w:numId w:val="35"/>
              </w:numPr>
              <w:rPr>
                <w:rFonts w:cs="Arial"/>
              </w:rPr>
            </w:pPr>
            <w:r w:rsidRPr="006706E1">
              <w:rPr>
                <w:rFonts w:cs="Arial"/>
              </w:rPr>
              <w:t>Cotinine</w:t>
            </w:r>
            <w:r>
              <w:rPr>
                <w:rFonts w:cs="Arial"/>
              </w:rPr>
              <w:t>.</w:t>
            </w:r>
          </w:p>
          <w:p w14:paraId="1AFA79DB" w14:textId="3395B068" w:rsidR="00406343" w:rsidRPr="00A1130B" w:rsidRDefault="00406343" w:rsidP="006706E1">
            <w:pPr>
              <w:pStyle w:val="LRWLBodyText"/>
              <w:rPr>
                <w:rFonts w:cs="Arial"/>
              </w:rPr>
            </w:pPr>
            <w:r>
              <w:rPr>
                <w:rFonts w:cs="Arial"/>
              </w:rPr>
              <w:t xml:space="preserve">The </w:t>
            </w:r>
            <w:r w:rsidR="00A146AC">
              <w:rPr>
                <w:rFonts w:cs="Arial"/>
              </w:rPr>
              <w:t>Contractor</w:t>
            </w:r>
            <w:r>
              <w:rPr>
                <w:rFonts w:cs="Arial"/>
              </w:rPr>
              <w:t xml:space="preserve"> must be able to provide</w:t>
            </w:r>
            <w:r w:rsidR="00120831">
              <w:rPr>
                <w:rFonts w:cs="Arial"/>
              </w:rPr>
              <w:t xml:space="preserve"> fasting and non-fasting biometric screenings via finger stick and venipuncture. </w:t>
            </w:r>
          </w:p>
        </w:tc>
      </w:tr>
      <w:tr w:rsidR="00247A48" w14:paraId="167EE38E" w14:textId="77777777" w:rsidTr="0059128F">
        <w:tc>
          <w:tcPr>
            <w:tcW w:w="535" w:type="dxa"/>
          </w:tcPr>
          <w:p w14:paraId="2E259CEF" w14:textId="1D024D76" w:rsidR="00247A48" w:rsidRDefault="00247A48" w:rsidP="00F01E1A">
            <w:pPr>
              <w:pStyle w:val="ListParagraph"/>
              <w:numPr>
                <w:ilvl w:val="0"/>
                <w:numId w:val="40"/>
              </w:numPr>
            </w:pPr>
          </w:p>
        </w:tc>
        <w:tc>
          <w:tcPr>
            <w:tcW w:w="8815" w:type="dxa"/>
          </w:tcPr>
          <w:p w14:paraId="144EB616" w14:textId="7F72F38D" w:rsidR="0092212A" w:rsidRDefault="00CC3E22" w:rsidP="0092212A">
            <w:pPr>
              <w:pStyle w:val="LRWLBodyText"/>
              <w:rPr>
                <w:rFonts w:cs="Arial"/>
              </w:rPr>
            </w:pPr>
            <w:r>
              <w:rPr>
                <w:rFonts w:cs="Arial"/>
              </w:rPr>
              <w:t>At al</w:t>
            </w:r>
            <w:r w:rsidR="00247A48" w:rsidRPr="006518F1">
              <w:rPr>
                <w:rFonts w:cs="Arial"/>
              </w:rPr>
              <w:t>l biometric screening events</w:t>
            </w:r>
            <w:r>
              <w:rPr>
                <w:rFonts w:cs="Arial"/>
              </w:rPr>
              <w:t xml:space="preserve">, the </w:t>
            </w:r>
            <w:r w:rsidR="00A146AC">
              <w:rPr>
                <w:rFonts w:cs="Arial"/>
              </w:rPr>
              <w:t>Contractor</w:t>
            </w:r>
            <w:r w:rsidR="00247A48" w:rsidRPr="006518F1">
              <w:rPr>
                <w:rFonts w:cs="Arial"/>
              </w:rPr>
              <w:t xml:space="preserve"> must</w:t>
            </w:r>
            <w:r w:rsidR="0092212A">
              <w:rPr>
                <w:rFonts w:cs="Arial"/>
              </w:rPr>
              <w:t>:</w:t>
            </w:r>
          </w:p>
          <w:p w14:paraId="1F621D85" w14:textId="44D21E42" w:rsidR="00247A48" w:rsidRDefault="0092212A" w:rsidP="00F01E1A">
            <w:pPr>
              <w:pStyle w:val="LRWLBodyText"/>
              <w:numPr>
                <w:ilvl w:val="0"/>
                <w:numId w:val="36"/>
              </w:numPr>
              <w:rPr>
                <w:rFonts w:cs="Arial"/>
              </w:rPr>
            </w:pPr>
            <w:r>
              <w:rPr>
                <w:rFonts w:cs="Arial"/>
              </w:rPr>
              <w:lastRenderedPageBreak/>
              <w:t>H</w:t>
            </w:r>
            <w:r w:rsidR="00247A48" w:rsidRPr="0092212A">
              <w:rPr>
                <w:rFonts w:cs="Arial"/>
              </w:rPr>
              <w:t xml:space="preserve">ave a minimum of one </w:t>
            </w:r>
            <w:r w:rsidR="009D4FF8">
              <w:rPr>
                <w:rFonts w:cs="Arial"/>
              </w:rPr>
              <w:t xml:space="preserve">(1) </w:t>
            </w:r>
            <w:r w:rsidR="00247A48" w:rsidRPr="0092212A">
              <w:rPr>
                <w:rFonts w:cs="Arial"/>
              </w:rPr>
              <w:t>staff person trained in First Responder Training or equivalent emergency medical training</w:t>
            </w:r>
            <w:r w:rsidR="00ED690F">
              <w:rPr>
                <w:rFonts w:cs="Arial"/>
              </w:rPr>
              <w:t>;</w:t>
            </w:r>
          </w:p>
          <w:p w14:paraId="62285DF0" w14:textId="68834FF7" w:rsidR="0092212A" w:rsidRDefault="0092212A" w:rsidP="00F01E1A">
            <w:pPr>
              <w:pStyle w:val="LRWLBodyText"/>
              <w:numPr>
                <w:ilvl w:val="0"/>
                <w:numId w:val="36"/>
              </w:numPr>
              <w:rPr>
                <w:rFonts w:cs="Arial"/>
              </w:rPr>
            </w:pPr>
            <w:r>
              <w:rPr>
                <w:rFonts w:cs="Arial"/>
              </w:rPr>
              <w:t>Confirm t</w:t>
            </w:r>
            <w:r w:rsidRPr="006518F1">
              <w:rPr>
                <w:rFonts w:cs="Arial"/>
              </w:rPr>
              <w:t>he Participant’s identity</w:t>
            </w:r>
            <w:r w:rsidR="00AF684A">
              <w:rPr>
                <w:rFonts w:cs="Arial"/>
              </w:rPr>
              <w:t xml:space="preserve"> with a photo </w:t>
            </w:r>
            <w:r w:rsidR="00D46699">
              <w:rPr>
                <w:rFonts w:cs="Arial"/>
              </w:rPr>
              <w:t>identification (</w:t>
            </w:r>
            <w:r w:rsidR="00AF684A">
              <w:rPr>
                <w:rFonts w:cs="Arial"/>
              </w:rPr>
              <w:t>ID</w:t>
            </w:r>
            <w:r w:rsidR="00D46699">
              <w:rPr>
                <w:rFonts w:cs="Arial"/>
              </w:rPr>
              <w:t>)</w:t>
            </w:r>
            <w:r w:rsidRPr="006518F1">
              <w:rPr>
                <w:rFonts w:cs="Arial"/>
              </w:rPr>
              <w:t xml:space="preserve"> at the </w:t>
            </w:r>
            <w:r>
              <w:rPr>
                <w:rFonts w:cs="Arial"/>
              </w:rPr>
              <w:t>time of the biometric screening</w:t>
            </w:r>
            <w:r w:rsidR="00ED690F">
              <w:rPr>
                <w:rFonts w:cs="Arial"/>
              </w:rPr>
              <w:t>;</w:t>
            </w:r>
          </w:p>
          <w:p w14:paraId="211D7EA7" w14:textId="57321DD6" w:rsidR="0092212A" w:rsidRDefault="009D5C90" w:rsidP="00F01E1A">
            <w:pPr>
              <w:pStyle w:val="LRWLBodyText"/>
              <w:numPr>
                <w:ilvl w:val="0"/>
                <w:numId w:val="36"/>
              </w:numPr>
              <w:rPr>
                <w:rFonts w:cs="Arial"/>
              </w:rPr>
            </w:pPr>
            <w:r>
              <w:rPr>
                <w:rFonts w:cs="Arial"/>
              </w:rPr>
              <w:t>Pr</w:t>
            </w:r>
            <w:r w:rsidR="0092212A">
              <w:rPr>
                <w:rFonts w:cs="Arial"/>
              </w:rPr>
              <w:t>ovide each P</w:t>
            </w:r>
            <w:r w:rsidR="0092212A" w:rsidRPr="006518F1">
              <w:rPr>
                <w:rFonts w:cs="Arial"/>
              </w:rPr>
              <w:t xml:space="preserve">articipant </w:t>
            </w:r>
            <w:r w:rsidR="0092212A">
              <w:rPr>
                <w:rFonts w:cs="Arial"/>
              </w:rPr>
              <w:t xml:space="preserve">with </w:t>
            </w:r>
            <w:r w:rsidR="0092212A" w:rsidRPr="006518F1">
              <w:rPr>
                <w:rFonts w:cs="Arial"/>
              </w:rPr>
              <w:t xml:space="preserve">a </w:t>
            </w:r>
            <w:r w:rsidR="006B5901">
              <w:rPr>
                <w:rFonts w:cs="Arial"/>
              </w:rPr>
              <w:t xml:space="preserve">paper </w:t>
            </w:r>
            <w:r w:rsidR="0092212A" w:rsidRPr="006518F1">
              <w:rPr>
                <w:rFonts w:cs="Arial"/>
              </w:rPr>
              <w:t>copy of the</w:t>
            </w:r>
            <w:r w:rsidR="006B5901">
              <w:rPr>
                <w:rFonts w:cs="Arial"/>
              </w:rPr>
              <w:t>ir individual</w:t>
            </w:r>
            <w:r w:rsidR="0092212A" w:rsidRPr="006518F1">
              <w:rPr>
                <w:rFonts w:cs="Arial"/>
              </w:rPr>
              <w:t xml:space="preserve"> screening results</w:t>
            </w:r>
            <w:r>
              <w:rPr>
                <w:rFonts w:cs="Arial"/>
              </w:rPr>
              <w:t xml:space="preserve"> at the time of the screening that</w:t>
            </w:r>
            <w:r w:rsidR="006B5901">
              <w:rPr>
                <w:rFonts w:cs="Arial"/>
              </w:rPr>
              <w:t xml:space="preserve"> includes a summary of whether the results are within normal ranges </w:t>
            </w:r>
            <w:r w:rsidR="009128A6">
              <w:rPr>
                <w:rFonts w:cs="Arial"/>
              </w:rPr>
              <w:t xml:space="preserve">and </w:t>
            </w:r>
            <w:r w:rsidR="0092212A" w:rsidRPr="006518F1">
              <w:rPr>
                <w:rFonts w:cs="Arial"/>
              </w:rPr>
              <w:t xml:space="preserve">a </w:t>
            </w:r>
            <w:r w:rsidR="009128A6">
              <w:rPr>
                <w:rFonts w:cs="Arial"/>
              </w:rPr>
              <w:t xml:space="preserve">brief </w:t>
            </w:r>
            <w:r w:rsidR="0092212A" w:rsidRPr="006518F1">
              <w:rPr>
                <w:rFonts w:cs="Arial"/>
              </w:rPr>
              <w:t>consultation explaining the results</w:t>
            </w:r>
            <w:r>
              <w:rPr>
                <w:rFonts w:cs="Arial"/>
              </w:rPr>
              <w:t xml:space="preserve">. For results that cannot be provided onsite, the </w:t>
            </w:r>
            <w:r w:rsidR="00A146AC">
              <w:rPr>
                <w:rFonts w:cs="Arial"/>
              </w:rPr>
              <w:t>Contractor</w:t>
            </w:r>
            <w:r>
              <w:rPr>
                <w:rFonts w:cs="Arial"/>
              </w:rPr>
              <w:t xml:space="preserve"> will mail a hard copy</w:t>
            </w:r>
            <w:r w:rsidR="006706E1">
              <w:rPr>
                <w:rFonts w:cs="Arial"/>
              </w:rPr>
              <w:t xml:space="preserve"> of the results</w:t>
            </w:r>
            <w:r>
              <w:rPr>
                <w:rFonts w:cs="Arial"/>
              </w:rPr>
              <w:t xml:space="preserve"> to </w:t>
            </w:r>
            <w:r w:rsidR="006706E1">
              <w:rPr>
                <w:rFonts w:cs="Arial"/>
              </w:rPr>
              <w:t xml:space="preserve">the </w:t>
            </w:r>
            <w:r>
              <w:rPr>
                <w:rFonts w:cs="Arial"/>
              </w:rPr>
              <w:t>Participant’s home address;</w:t>
            </w:r>
          </w:p>
          <w:p w14:paraId="104F3D08" w14:textId="50A4751C" w:rsidR="00530BA0" w:rsidRDefault="009128A6" w:rsidP="00F01E1A">
            <w:pPr>
              <w:pStyle w:val="LRWLBodyText"/>
              <w:numPr>
                <w:ilvl w:val="0"/>
                <w:numId w:val="36"/>
              </w:numPr>
              <w:rPr>
                <w:rFonts w:cs="Arial"/>
              </w:rPr>
            </w:pPr>
            <w:r>
              <w:rPr>
                <w:rFonts w:cs="Arial"/>
              </w:rPr>
              <w:t xml:space="preserve">Have an average screening completion time of twenty (20) minutes and </w:t>
            </w:r>
            <w:r w:rsidR="0092212A">
              <w:rPr>
                <w:rFonts w:cs="Arial"/>
              </w:rPr>
              <w:t xml:space="preserve">a wait time of no more than </w:t>
            </w:r>
            <w:r w:rsidR="00DC6775">
              <w:rPr>
                <w:rFonts w:cs="Arial"/>
              </w:rPr>
              <w:t>ten</w:t>
            </w:r>
            <w:r w:rsidR="0092212A">
              <w:rPr>
                <w:rFonts w:cs="Arial"/>
              </w:rPr>
              <w:t xml:space="preserve"> (1</w:t>
            </w:r>
            <w:r w:rsidR="00DC6775">
              <w:rPr>
                <w:rFonts w:cs="Arial"/>
              </w:rPr>
              <w:t>0</w:t>
            </w:r>
            <w:r w:rsidR="0092212A">
              <w:rPr>
                <w:rFonts w:cs="Arial"/>
              </w:rPr>
              <w:t>) minutes for pre-registered Participants</w:t>
            </w:r>
            <w:r w:rsidR="006706E1">
              <w:rPr>
                <w:rFonts w:cs="Arial"/>
              </w:rPr>
              <w:t>; and</w:t>
            </w:r>
            <w:r>
              <w:rPr>
                <w:rFonts w:cs="Arial"/>
              </w:rPr>
              <w:t xml:space="preserve"> </w:t>
            </w:r>
          </w:p>
          <w:p w14:paraId="74024786" w14:textId="08FD8B35" w:rsidR="00530BA0" w:rsidRPr="00530BA0" w:rsidRDefault="00530BA0" w:rsidP="00F01E1A">
            <w:pPr>
              <w:pStyle w:val="LRWLBodyText"/>
              <w:numPr>
                <w:ilvl w:val="0"/>
                <w:numId w:val="36"/>
              </w:numPr>
              <w:rPr>
                <w:rFonts w:cs="Arial"/>
              </w:rPr>
            </w:pPr>
            <w:r>
              <w:rPr>
                <w:rFonts w:cs="Arial"/>
              </w:rPr>
              <w:t>Notify the ETF Program Manager, by phone or email, of complaints or issues that occurred at the biometric screening within one (1) Business Day of the event.</w:t>
            </w:r>
          </w:p>
        </w:tc>
      </w:tr>
      <w:tr w:rsidR="00247A48" w14:paraId="267184F4" w14:textId="77777777" w:rsidTr="0059128F">
        <w:tc>
          <w:tcPr>
            <w:tcW w:w="535" w:type="dxa"/>
          </w:tcPr>
          <w:p w14:paraId="1CEC8C70" w14:textId="2AAC1860" w:rsidR="00247A48" w:rsidRDefault="00247A48" w:rsidP="00F01E1A">
            <w:pPr>
              <w:pStyle w:val="ListParagraph"/>
              <w:numPr>
                <w:ilvl w:val="0"/>
                <w:numId w:val="40"/>
              </w:numPr>
            </w:pPr>
          </w:p>
        </w:tc>
        <w:tc>
          <w:tcPr>
            <w:tcW w:w="8815" w:type="dxa"/>
          </w:tcPr>
          <w:p w14:paraId="39D473F6" w14:textId="76382FCF" w:rsidR="009E0064" w:rsidRPr="006518F1" w:rsidRDefault="009128A6" w:rsidP="009E0064">
            <w:pPr>
              <w:rPr>
                <w:rFonts w:ascii="Arial" w:hAnsi="Arial" w:cs="Arial"/>
              </w:rPr>
            </w:pPr>
            <w:r w:rsidRPr="00082528">
              <w:rPr>
                <w:rFonts w:ascii="Arial" w:hAnsi="Arial" w:cs="Arial"/>
              </w:rPr>
              <w:t>No more than forty-eight (48) hours after the event, the Participant must receive an email detailing the remaining program requirements, highlighting health coaching and other follow</w:t>
            </w:r>
            <w:r w:rsidR="00114826">
              <w:rPr>
                <w:rFonts w:ascii="Arial" w:hAnsi="Arial" w:cs="Arial"/>
              </w:rPr>
              <w:t>-</w:t>
            </w:r>
            <w:r w:rsidRPr="00082528">
              <w:rPr>
                <w:rFonts w:ascii="Arial" w:hAnsi="Arial" w:cs="Arial"/>
              </w:rPr>
              <w:t>up services, and notifying the Participants that they may receive an outreach call for health coaching.</w:t>
            </w:r>
            <w:r w:rsidR="00120831">
              <w:rPr>
                <w:rFonts w:ascii="Arial" w:hAnsi="Arial" w:cs="Arial"/>
              </w:rPr>
              <w:t xml:space="preserve"> If </w:t>
            </w:r>
            <w:r w:rsidR="00FE23C9">
              <w:rPr>
                <w:rFonts w:ascii="Arial" w:hAnsi="Arial" w:cs="Arial"/>
              </w:rPr>
              <w:t xml:space="preserve">the </w:t>
            </w:r>
            <w:r w:rsidR="00120831">
              <w:rPr>
                <w:rFonts w:ascii="Arial" w:hAnsi="Arial" w:cs="Arial"/>
              </w:rPr>
              <w:t>Participant does not have email, information must be provided by USPS.</w:t>
            </w:r>
          </w:p>
        </w:tc>
      </w:tr>
      <w:tr w:rsidR="009128A6" w14:paraId="0064EFE1" w14:textId="77777777" w:rsidTr="0059128F">
        <w:tc>
          <w:tcPr>
            <w:tcW w:w="535" w:type="dxa"/>
          </w:tcPr>
          <w:p w14:paraId="120248FB" w14:textId="77777777" w:rsidR="009128A6" w:rsidRDefault="009128A6" w:rsidP="00F01E1A">
            <w:pPr>
              <w:pStyle w:val="ListParagraph"/>
              <w:numPr>
                <w:ilvl w:val="0"/>
                <w:numId w:val="40"/>
              </w:numPr>
            </w:pPr>
          </w:p>
        </w:tc>
        <w:tc>
          <w:tcPr>
            <w:tcW w:w="8815" w:type="dxa"/>
          </w:tcPr>
          <w:p w14:paraId="7CB6804C" w14:textId="03846770" w:rsidR="009128A6" w:rsidRDefault="009128A6" w:rsidP="009E0064">
            <w:pPr>
              <w:rPr>
                <w:rFonts w:ascii="Arial" w:hAnsi="Arial" w:cs="Arial"/>
              </w:rPr>
            </w:pPr>
            <w:r>
              <w:rPr>
                <w:rFonts w:ascii="Arial" w:hAnsi="Arial" w:cs="Arial"/>
              </w:rPr>
              <w:t xml:space="preserve">The </w:t>
            </w:r>
            <w:r w:rsidR="00A146AC">
              <w:rPr>
                <w:rFonts w:ascii="Arial" w:hAnsi="Arial" w:cs="Arial"/>
              </w:rPr>
              <w:t>Contractor</w:t>
            </w:r>
            <w:r w:rsidRPr="006518F1">
              <w:rPr>
                <w:rFonts w:ascii="Arial" w:hAnsi="Arial" w:cs="Arial"/>
              </w:rPr>
              <w:t xml:space="preserve"> </w:t>
            </w:r>
            <w:r>
              <w:rPr>
                <w:rFonts w:ascii="Arial" w:hAnsi="Arial" w:cs="Arial"/>
              </w:rPr>
              <w:t>must</w:t>
            </w:r>
            <w:r w:rsidRPr="006518F1">
              <w:rPr>
                <w:rFonts w:ascii="Arial" w:hAnsi="Arial" w:cs="Arial"/>
              </w:rPr>
              <w:t xml:space="preserve"> import results data from the </w:t>
            </w:r>
            <w:r w:rsidR="00A146AC">
              <w:rPr>
                <w:rFonts w:ascii="Arial" w:hAnsi="Arial" w:cs="Arial"/>
              </w:rPr>
              <w:t>Contractor</w:t>
            </w:r>
            <w:r w:rsidR="00114826">
              <w:rPr>
                <w:rFonts w:ascii="Arial" w:hAnsi="Arial" w:cs="Arial"/>
              </w:rPr>
              <w:t>-</w:t>
            </w:r>
            <w:r w:rsidRPr="006518F1">
              <w:rPr>
                <w:rFonts w:ascii="Arial" w:hAnsi="Arial" w:cs="Arial"/>
              </w:rPr>
              <w:t xml:space="preserve">provided biometric screening into the Participant’s profile or </w:t>
            </w:r>
            <w:r>
              <w:rPr>
                <w:rFonts w:ascii="Arial" w:hAnsi="Arial" w:cs="Arial"/>
              </w:rPr>
              <w:t>health risk assessment</w:t>
            </w:r>
            <w:r w:rsidRPr="006518F1">
              <w:rPr>
                <w:rFonts w:ascii="Arial" w:hAnsi="Arial" w:cs="Arial"/>
              </w:rPr>
              <w:t xml:space="preserve"> </w:t>
            </w:r>
            <w:r w:rsidR="00E9095A">
              <w:rPr>
                <w:rFonts w:ascii="Arial" w:hAnsi="Arial" w:cs="Arial"/>
              </w:rPr>
              <w:t xml:space="preserve">(in the web-portal) </w:t>
            </w:r>
            <w:r w:rsidRPr="006518F1">
              <w:rPr>
                <w:rFonts w:ascii="Arial" w:hAnsi="Arial" w:cs="Arial"/>
              </w:rPr>
              <w:t>within ten (10) Days of the screening date.</w:t>
            </w:r>
          </w:p>
        </w:tc>
      </w:tr>
      <w:tr w:rsidR="00247A48" w14:paraId="6B814CF5" w14:textId="77777777" w:rsidTr="0059128F">
        <w:tc>
          <w:tcPr>
            <w:tcW w:w="535" w:type="dxa"/>
          </w:tcPr>
          <w:p w14:paraId="6C063D49" w14:textId="77777777" w:rsidR="00247A48" w:rsidRDefault="00247A48" w:rsidP="00F01E1A">
            <w:pPr>
              <w:pStyle w:val="ListParagraph"/>
              <w:numPr>
                <w:ilvl w:val="0"/>
                <w:numId w:val="40"/>
              </w:numPr>
            </w:pPr>
          </w:p>
        </w:tc>
        <w:tc>
          <w:tcPr>
            <w:tcW w:w="8815" w:type="dxa"/>
          </w:tcPr>
          <w:p w14:paraId="6FD7B993" w14:textId="10312751" w:rsidR="00247A48" w:rsidRPr="006518F1" w:rsidRDefault="00247A48" w:rsidP="00247A48">
            <w:pPr>
              <w:pStyle w:val="LRWLBodyText"/>
              <w:rPr>
                <w:rFonts w:cs="Arial"/>
              </w:rPr>
            </w:pPr>
            <w:r w:rsidRPr="006518F1">
              <w:rPr>
                <w:rFonts w:cs="Arial"/>
              </w:rPr>
              <w:t xml:space="preserve">In lieu of obtaining biometric values </w:t>
            </w:r>
            <w:r w:rsidR="00CC3E22">
              <w:rPr>
                <w:rFonts w:cs="Arial"/>
              </w:rPr>
              <w:t>at a</w:t>
            </w:r>
            <w:r w:rsidRPr="006518F1">
              <w:rPr>
                <w:rFonts w:cs="Arial"/>
              </w:rPr>
              <w:t xml:space="preserve"> </w:t>
            </w:r>
            <w:r w:rsidR="00A146AC">
              <w:rPr>
                <w:rFonts w:cs="Arial"/>
              </w:rPr>
              <w:t>Contractor</w:t>
            </w:r>
            <w:r w:rsidR="00CC3E22">
              <w:rPr>
                <w:rFonts w:cs="Arial"/>
              </w:rPr>
              <w:t xml:space="preserve"> screening</w:t>
            </w:r>
            <w:r w:rsidRPr="006518F1">
              <w:rPr>
                <w:rFonts w:cs="Arial"/>
              </w:rPr>
              <w:t xml:space="preserve">, Participants must be allowed to submit </w:t>
            </w:r>
            <w:r w:rsidR="00C62EE6">
              <w:rPr>
                <w:rFonts w:cs="Arial"/>
              </w:rPr>
              <w:t xml:space="preserve">verifiable </w:t>
            </w:r>
            <w:r w:rsidRPr="006518F1">
              <w:rPr>
                <w:rFonts w:cs="Arial"/>
              </w:rPr>
              <w:t xml:space="preserve">results obtained from their healthcare provider on a </w:t>
            </w:r>
            <w:r w:rsidR="00A146AC">
              <w:rPr>
                <w:rFonts w:cs="Arial"/>
              </w:rPr>
              <w:t>Contractor-</w:t>
            </w:r>
            <w:r w:rsidRPr="006518F1">
              <w:rPr>
                <w:rFonts w:cs="Arial"/>
              </w:rPr>
              <w:t xml:space="preserve">provided form. The </w:t>
            </w:r>
            <w:r w:rsidR="00A146AC">
              <w:rPr>
                <w:rFonts w:cs="Arial"/>
              </w:rPr>
              <w:t>Contractor</w:t>
            </w:r>
            <w:r w:rsidR="00114826">
              <w:rPr>
                <w:rFonts w:cs="Arial"/>
              </w:rPr>
              <w:t>-</w:t>
            </w:r>
            <w:r w:rsidRPr="006518F1">
              <w:rPr>
                <w:rFonts w:cs="Arial"/>
              </w:rPr>
              <w:t>developed form must include:</w:t>
            </w:r>
          </w:p>
          <w:p w14:paraId="41F74286" w14:textId="08044D26" w:rsidR="00247A48" w:rsidRPr="006518F1" w:rsidRDefault="00247A48" w:rsidP="00BB01AE">
            <w:pPr>
              <w:pStyle w:val="LRWLBodyText"/>
              <w:numPr>
                <w:ilvl w:val="0"/>
                <w:numId w:val="16"/>
              </w:numPr>
              <w:rPr>
                <w:rFonts w:cs="Arial"/>
              </w:rPr>
            </w:pPr>
            <w:r w:rsidRPr="006518F1">
              <w:rPr>
                <w:rFonts w:cs="Arial"/>
              </w:rPr>
              <w:t>Date that labs were obtained for each result(s)</w:t>
            </w:r>
            <w:r w:rsidR="00ED690F">
              <w:rPr>
                <w:rFonts w:cs="Arial"/>
              </w:rPr>
              <w:t>;</w:t>
            </w:r>
          </w:p>
          <w:p w14:paraId="45BFEDEA" w14:textId="717106C2" w:rsidR="00247A48" w:rsidRPr="006518F1" w:rsidRDefault="00247A48" w:rsidP="00BB01AE">
            <w:pPr>
              <w:pStyle w:val="LRWLBodyText"/>
              <w:numPr>
                <w:ilvl w:val="0"/>
                <w:numId w:val="16"/>
              </w:numPr>
              <w:rPr>
                <w:rFonts w:cs="Arial"/>
              </w:rPr>
            </w:pPr>
            <w:r w:rsidRPr="006518F1">
              <w:rPr>
                <w:rFonts w:cs="Arial"/>
              </w:rPr>
              <w:t>Indicator for blood work to identify fasting or non-fasting values</w:t>
            </w:r>
            <w:r w:rsidR="00ED690F">
              <w:rPr>
                <w:rFonts w:cs="Arial"/>
              </w:rPr>
              <w:t>;</w:t>
            </w:r>
            <w:r w:rsidR="00F60143">
              <w:rPr>
                <w:rFonts w:cs="Arial"/>
              </w:rPr>
              <w:t xml:space="preserve"> and</w:t>
            </w:r>
          </w:p>
          <w:p w14:paraId="6F16FEAD" w14:textId="506090CD" w:rsidR="00247A48" w:rsidRPr="006518F1" w:rsidRDefault="00247A48" w:rsidP="00BB01AE">
            <w:pPr>
              <w:pStyle w:val="LRWLBodyText"/>
              <w:numPr>
                <w:ilvl w:val="0"/>
                <w:numId w:val="16"/>
              </w:numPr>
              <w:rPr>
                <w:rFonts w:cs="Arial"/>
              </w:rPr>
            </w:pPr>
            <w:r w:rsidRPr="006518F1">
              <w:rPr>
                <w:rFonts w:cs="Arial"/>
              </w:rPr>
              <w:t>Ability for Participant's healthcare provider to report prior results if updated blood work is not necessary based on clinical experience or USPSTF guideline</w:t>
            </w:r>
            <w:r w:rsidR="00ED690F">
              <w:rPr>
                <w:rFonts w:cs="Arial"/>
              </w:rPr>
              <w:t>s</w:t>
            </w:r>
            <w:r w:rsidR="00F60143">
              <w:rPr>
                <w:rFonts w:cs="Arial"/>
              </w:rPr>
              <w:t>.</w:t>
            </w:r>
          </w:p>
          <w:p w14:paraId="4669FFA6" w14:textId="17D1B147" w:rsidR="00C62EE6" w:rsidRPr="006518F1" w:rsidRDefault="00FB5E70" w:rsidP="00FB5E70">
            <w:pPr>
              <w:rPr>
                <w:rFonts w:ascii="Arial" w:hAnsi="Arial" w:cs="Arial"/>
              </w:rPr>
            </w:pPr>
            <w:r>
              <w:rPr>
                <w:rFonts w:ascii="Arial" w:hAnsi="Arial" w:cs="Arial"/>
              </w:rPr>
              <w:t xml:space="preserve">The </w:t>
            </w:r>
            <w:r w:rsidR="00A146AC">
              <w:rPr>
                <w:rFonts w:ascii="Arial" w:hAnsi="Arial" w:cs="Arial"/>
              </w:rPr>
              <w:t>Contractor</w:t>
            </w:r>
            <w:r>
              <w:rPr>
                <w:rFonts w:ascii="Arial" w:hAnsi="Arial" w:cs="Arial"/>
              </w:rPr>
              <w:t>’s system</w:t>
            </w:r>
            <w:r w:rsidR="00247A48" w:rsidRPr="006518F1">
              <w:rPr>
                <w:rFonts w:ascii="Arial" w:hAnsi="Arial" w:cs="Arial"/>
              </w:rPr>
              <w:t xml:space="preserve"> must </w:t>
            </w:r>
            <w:r w:rsidR="00CC3E22">
              <w:rPr>
                <w:rFonts w:ascii="Arial" w:hAnsi="Arial" w:cs="Arial"/>
              </w:rPr>
              <w:t xml:space="preserve">have an indicator to </w:t>
            </w:r>
            <w:r>
              <w:rPr>
                <w:rFonts w:ascii="Arial" w:hAnsi="Arial" w:cs="Arial"/>
              </w:rPr>
              <w:t xml:space="preserve">identify </w:t>
            </w:r>
            <w:r w:rsidR="00247A48" w:rsidRPr="006518F1">
              <w:rPr>
                <w:rFonts w:ascii="Arial" w:hAnsi="Arial" w:cs="Arial"/>
              </w:rPr>
              <w:t xml:space="preserve">which biometrics are obtained at a </w:t>
            </w:r>
            <w:r w:rsidR="00A146AC">
              <w:rPr>
                <w:rFonts w:ascii="Arial" w:hAnsi="Arial" w:cs="Arial"/>
              </w:rPr>
              <w:t>Contractor</w:t>
            </w:r>
            <w:r w:rsidR="00247A48" w:rsidRPr="006518F1">
              <w:rPr>
                <w:rFonts w:ascii="Arial" w:hAnsi="Arial" w:cs="Arial"/>
              </w:rPr>
              <w:t xml:space="preserve"> event and which are obtained via the Participant’s healthcare provider.</w:t>
            </w:r>
          </w:p>
        </w:tc>
      </w:tr>
      <w:tr w:rsidR="00386674" w14:paraId="0CB2EA63" w14:textId="77777777" w:rsidTr="0059128F">
        <w:tc>
          <w:tcPr>
            <w:tcW w:w="535" w:type="dxa"/>
          </w:tcPr>
          <w:p w14:paraId="6BACAAAB" w14:textId="77777777" w:rsidR="00386674" w:rsidRDefault="00386674" w:rsidP="00F01E1A">
            <w:pPr>
              <w:pStyle w:val="ListParagraph"/>
              <w:numPr>
                <w:ilvl w:val="0"/>
                <w:numId w:val="40"/>
              </w:numPr>
            </w:pPr>
          </w:p>
        </w:tc>
        <w:tc>
          <w:tcPr>
            <w:tcW w:w="8815" w:type="dxa"/>
          </w:tcPr>
          <w:p w14:paraId="5A1C59EE" w14:textId="0B65DB6B" w:rsidR="00386674" w:rsidRPr="006518F1" w:rsidRDefault="00FB5E70">
            <w:pPr>
              <w:rPr>
                <w:rFonts w:ascii="Arial" w:hAnsi="Arial" w:cs="Arial"/>
              </w:rPr>
            </w:pPr>
            <w:r>
              <w:rPr>
                <w:rFonts w:ascii="Arial" w:hAnsi="Arial" w:cs="Arial"/>
              </w:rPr>
              <w:t xml:space="preserve">The </w:t>
            </w:r>
            <w:r w:rsidR="00A146AC">
              <w:rPr>
                <w:rFonts w:ascii="Arial" w:hAnsi="Arial" w:cs="Arial"/>
              </w:rPr>
              <w:t>Contractor</w:t>
            </w:r>
            <w:r w:rsidR="00386674">
              <w:rPr>
                <w:rFonts w:ascii="Arial" w:hAnsi="Arial" w:cs="Arial"/>
              </w:rPr>
              <w:t xml:space="preserve"> </w:t>
            </w:r>
            <w:r w:rsidR="00D46699">
              <w:rPr>
                <w:rFonts w:ascii="Arial" w:hAnsi="Arial" w:cs="Arial"/>
              </w:rPr>
              <w:t xml:space="preserve">must </w:t>
            </w:r>
            <w:r w:rsidR="00386674">
              <w:rPr>
                <w:rFonts w:ascii="Arial" w:hAnsi="Arial" w:cs="Arial"/>
              </w:rPr>
              <w:t>not accept self-reported biometric data</w:t>
            </w:r>
            <w:r w:rsidR="00AD66D0">
              <w:rPr>
                <w:rFonts w:ascii="Arial" w:hAnsi="Arial" w:cs="Arial"/>
              </w:rPr>
              <w:t xml:space="preserve"> for the program requirement</w:t>
            </w:r>
            <w:r w:rsidR="00386674">
              <w:rPr>
                <w:rFonts w:ascii="Arial" w:hAnsi="Arial" w:cs="Arial"/>
              </w:rPr>
              <w:t>.</w:t>
            </w:r>
          </w:p>
        </w:tc>
      </w:tr>
      <w:tr w:rsidR="0092212A" w14:paraId="52155B1C" w14:textId="77777777" w:rsidTr="0059128F">
        <w:tc>
          <w:tcPr>
            <w:tcW w:w="535" w:type="dxa"/>
          </w:tcPr>
          <w:p w14:paraId="4F3B0F58" w14:textId="77777777" w:rsidR="0092212A" w:rsidRDefault="0092212A" w:rsidP="00F01E1A">
            <w:pPr>
              <w:pStyle w:val="ListParagraph"/>
              <w:numPr>
                <w:ilvl w:val="0"/>
                <w:numId w:val="40"/>
              </w:numPr>
            </w:pPr>
          </w:p>
        </w:tc>
        <w:tc>
          <w:tcPr>
            <w:tcW w:w="8815" w:type="dxa"/>
          </w:tcPr>
          <w:p w14:paraId="27C8814E" w14:textId="7B84DFF8" w:rsidR="0092212A" w:rsidRDefault="00C62EE6" w:rsidP="00C62EE6">
            <w:pPr>
              <w:rPr>
                <w:rFonts w:ascii="Arial" w:hAnsi="Arial" w:cs="Arial"/>
              </w:rPr>
            </w:pPr>
            <w:r>
              <w:rPr>
                <w:rFonts w:ascii="Arial" w:hAnsi="Arial" w:cs="Arial"/>
              </w:rPr>
              <w:t>T</w:t>
            </w:r>
            <w:r w:rsidR="0092212A">
              <w:rPr>
                <w:rFonts w:ascii="Arial" w:hAnsi="Arial" w:cs="Arial"/>
              </w:rPr>
              <w:t xml:space="preserve">he </w:t>
            </w:r>
            <w:r w:rsidR="00A146AC">
              <w:rPr>
                <w:rFonts w:ascii="Arial" w:hAnsi="Arial" w:cs="Arial"/>
              </w:rPr>
              <w:t>Contractor</w:t>
            </w:r>
            <w:r w:rsidR="0092212A" w:rsidRPr="006518F1">
              <w:rPr>
                <w:rFonts w:ascii="Arial" w:hAnsi="Arial" w:cs="Arial"/>
              </w:rPr>
              <w:t xml:space="preserve"> must develop a screening cycle </w:t>
            </w:r>
            <w:r w:rsidR="0092212A">
              <w:rPr>
                <w:rFonts w:ascii="Arial" w:hAnsi="Arial" w:cs="Arial"/>
              </w:rPr>
              <w:t xml:space="preserve">for workplace </w:t>
            </w:r>
            <w:r w:rsidR="0092212A" w:rsidRPr="006518F1">
              <w:rPr>
                <w:rFonts w:ascii="Arial" w:hAnsi="Arial" w:cs="Arial"/>
              </w:rPr>
              <w:t>biometrics</w:t>
            </w:r>
            <w:r w:rsidR="0092212A">
              <w:rPr>
                <w:rFonts w:ascii="Arial" w:hAnsi="Arial" w:cs="Arial"/>
              </w:rPr>
              <w:t xml:space="preserve"> events</w:t>
            </w:r>
            <w:r w:rsidR="0092212A" w:rsidRPr="006518F1">
              <w:rPr>
                <w:rFonts w:ascii="Arial" w:hAnsi="Arial" w:cs="Arial"/>
              </w:rPr>
              <w:t xml:space="preserve"> that incorporates USPSTF guidelines for frequency of screening tests</w:t>
            </w:r>
            <w:r w:rsidR="0092212A">
              <w:rPr>
                <w:rFonts w:ascii="Arial" w:hAnsi="Arial" w:cs="Arial"/>
              </w:rPr>
              <w:t xml:space="preserve"> or make a recommendation to ETF and the Board for modifications to the frequency of the biometric screening requirement</w:t>
            </w:r>
            <w:r w:rsidR="0092212A" w:rsidRPr="006518F1">
              <w:rPr>
                <w:rFonts w:ascii="Arial" w:hAnsi="Arial" w:cs="Arial"/>
              </w:rPr>
              <w:t>.</w:t>
            </w:r>
          </w:p>
        </w:tc>
      </w:tr>
      <w:tr w:rsidR="00BC7C4A" w14:paraId="0559D45E" w14:textId="77777777" w:rsidTr="0059128F">
        <w:tc>
          <w:tcPr>
            <w:tcW w:w="535" w:type="dxa"/>
          </w:tcPr>
          <w:p w14:paraId="7A6DDE66" w14:textId="77777777" w:rsidR="00BC7C4A" w:rsidRDefault="00BC7C4A" w:rsidP="00F01E1A">
            <w:pPr>
              <w:pStyle w:val="ListParagraph"/>
              <w:numPr>
                <w:ilvl w:val="0"/>
                <w:numId w:val="40"/>
              </w:numPr>
            </w:pPr>
          </w:p>
        </w:tc>
        <w:tc>
          <w:tcPr>
            <w:tcW w:w="8815" w:type="dxa"/>
          </w:tcPr>
          <w:p w14:paraId="63F9E883" w14:textId="22F50954" w:rsidR="00BC7C4A" w:rsidRDefault="00323E94" w:rsidP="00E46012">
            <w:pPr>
              <w:rPr>
                <w:rFonts w:ascii="Arial" w:hAnsi="Arial" w:cs="Arial"/>
              </w:rPr>
            </w:pPr>
            <w:r>
              <w:rPr>
                <w:rFonts w:ascii="Arial" w:hAnsi="Arial" w:cs="Arial"/>
              </w:rPr>
              <w:t xml:space="preserve">Targeted employer groups or specified screening events, as defined and approved by ETF, </w:t>
            </w:r>
            <w:r w:rsidR="00984326">
              <w:rPr>
                <w:rFonts w:ascii="Arial" w:hAnsi="Arial" w:cs="Arial"/>
              </w:rPr>
              <w:t>may</w:t>
            </w:r>
            <w:r>
              <w:rPr>
                <w:rFonts w:ascii="Arial" w:hAnsi="Arial" w:cs="Arial"/>
              </w:rPr>
              <w:t xml:space="preserve"> be allowed to request flu shots as an additional service at the biometric screening event</w:t>
            </w:r>
            <w:r w:rsidR="00F60143">
              <w:rPr>
                <w:rFonts w:ascii="Arial" w:hAnsi="Arial" w:cs="Arial"/>
              </w:rPr>
              <w:t>s</w:t>
            </w:r>
            <w:r>
              <w:rPr>
                <w:rFonts w:ascii="Arial" w:hAnsi="Arial" w:cs="Arial"/>
              </w:rPr>
              <w:t xml:space="preserve">. </w:t>
            </w:r>
            <w:r w:rsidR="00F60143">
              <w:rPr>
                <w:rFonts w:ascii="Arial" w:hAnsi="Arial" w:cs="Arial"/>
              </w:rPr>
              <w:t xml:space="preserve">Flu shots will be made available to any eligible </w:t>
            </w:r>
            <w:r w:rsidR="00E46012">
              <w:rPr>
                <w:rFonts w:ascii="Arial" w:hAnsi="Arial" w:cs="Arial"/>
              </w:rPr>
              <w:t>Member</w:t>
            </w:r>
            <w:r w:rsidR="00F60143">
              <w:rPr>
                <w:rFonts w:ascii="Arial" w:hAnsi="Arial" w:cs="Arial"/>
              </w:rPr>
              <w:t xml:space="preserve">, even if the </w:t>
            </w:r>
            <w:r w:rsidR="00E46012">
              <w:rPr>
                <w:rFonts w:ascii="Arial" w:hAnsi="Arial" w:cs="Arial"/>
              </w:rPr>
              <w:t xml:space="preserve">Member </w:t>
            </w:r>
            <w:r w:rsidR="00F60143">
              <w:rPr>
                <w:rFonts w:ascii="Arial" w:hAnsi="Arial" w:cs="Arial"/>
              </w:rPr>
              <w:t xml:space="preserve">is not registered for the biometric screening. </w:t>
            </w:r>
          </w:p>
        </w:tc>
      </w:tr>
    </w:tbl>
    <w:p w14:paraId="26D415D2" w14:textId="4E0642A8" w:rsidR="006A7F14" w:rsidRDefault="006A7F14" w:rsidP="00E2525C">
      <w:pPr>
        <w:pStyle w:val="Heading3"/>
      </w:pPr>
      <w:r>
        <w:lastRenderedPageBreak/>
        <w:t>Access to Secure Facilities</w:t>
      </w:r>
    </w:p>
    <w:p w14:paraId="60335400" w14:textId="648F0BBD" w:rsidR="00F60143" w:rsidRPr="00EF5593" w:rsidRDefault="00F60143" w:rsidP="00F60143">
      <w:pPr>
        <w:pStyle w:val="LRWLBodyText"/>
      </w:pPr>
      <w:r>
        <w:t>The provision of Services under the C</w:t>
      </w:r>
      <w:r w:rsidRPr="00EF5593">
        <w:t xml:space="preserve">ontract </w:t>
      </w:r>
      <w:r>
        <w:t>requires</w:t>
      </w:r>
      <w:r w:rsidRPr="00EF5593">
        <w:t xml:space="preserve"> access</w:t>
      </w:r>
      <w:r>
        <w:t xml:space="preserve"> to</w:t>
      </w:r>
      <w:r w:rsidRPr="00EF5593">
        <w:t xml:space="preserve">/entrance into secure facilities or secure areas </w:t>
      </w:r>
      <w:r>
        <w:t xml:space="preserve">of facilities </w:t>
      </w:r>
      <w:r w:rsidRPr="00EF5593">
        <w:t>operat</w:t>
      </w:r>
      <w:r>
        <w:t>ed</w:t>
      </w:r>
      <w:r w:rsidRPr="00EF5593">
        <w:t xml:space="preserve"> by </w:t>
      </w:r>
      <w:r>
        <w:t xml:space="preserve">the Wisconsin </w:t>
      </w:r>
      <w:r w:rsidRPr="00EF5593">
        <w:t xml:space="preserve">Department of Transportation (DOT) and </w:t>
      </w:r>
      <w:r>
        <w:t xml:space="preserve">the Wisconsin </w:t>
      </w:r>
      <w:r w:rsidRPr="00EF5593">
        <w:t>Department of Corrections (DOC) (</w:t>
      </w:r>
      <w:r w:rsidR="00FD41A7">
        <w:t>r</w:t>
      </w:r>
      <w:r w:rsidRPr="00EF5593">
        <w:t xml:space="preserve">efer to </w:t>
      </w:r>
      <w:r w:rsidR="005C73E0">
        <w:t>Appendix 3</w:t>
      </w:r>
      <w:r w:rsidRPr="00EF5593">
        <w:t xml:space="preserve"> </w:t>
      </w:r>
      <w:r w:rsidR="003A4BE4">
        <w:t xml:space="preserve">Department of Corrections (DOC) </w:t>
      </w:r>
      <w:r w:rsidR="007859EA" w:rsidRPr="00EF5593">
        <w:t>Work Locations</w:t>
      </w:r>
      <w:r w:rsidRPr="00EF5593">
        <w:t>), as well as secure treatment facilities operated by the</w:t>
      </w:r>
      <w:r>
        <w:t xml:space="preserve"> Wisconsin</w:t>
      </w:r>
      <w:r w:rsidRPr="00EF5593">
        <w:t xml:space="preserve"> Department of Health Services (DHS)</w:t>
      </w:r>
      <w:r w:rsidR="00FD41A7">
        <w:t xml:space="preserve"> (refer to Appendix 4 State Work Locations (non-DOC)</w:t>
      </w:r>
      <w:r w:rsidR="00FE23C9">
        <w:t>)</w:t>
      </w:r>
      <w:r w:rsidRPr="00EF5593">
        <w:t>.</w:t>
      </w:r>
      <w:r>
        <w:t xml:space="preserve"> The </w:t>
      </w:r>
      <w:r w:rsidR="00A146AC">
        <w:t>Contractor</w:t>
      </w:r>
      <w:r w:rsidRPr="00EF5593">
        <w:t xml:space="preserve"> shall adhere to</w:t>
      </w:r>
      <w:r>
        <w:t xml:space="preserve"> and comply with</w:t>
      </w:r>
      <w:r w:rsidRPr="00EF5593">
        <w:t xml:space="preserve"> any and all security polic</w:t>
      </w:r>
      <w:r>
        <w:t>ies</w:t>
      </w:r>
      <w:r w:rsidRPr="00EF5593">
        <w:t>/process</w:t>
      </w:r>
      <w:r>
        <w:t>es and requirements</w:t>
      </w:r>
      <w:r w:rsidRPr="00EF5593">
        <w:t xml:space="preserve"> </w:t>
      </w:r>
      <w:r>
        <w:t>that</w:t>
      </w:r>
      <w:r w:rsidRPr="00EF5593">
        <w:t xml:space="preserve"> may be in place at </w:t>
      </w:r>
      <w:r>
        <w:t>such locations</w:t>
      </w:r>
      <w:r w:rsidRPr="00EF5593">
        <w:t>.</w:t>
      </w:r>
    </w:p>
    <w:p w14:paraId="0A1EE26B" w14:textId="02920D0A" w:rsidR="00F60143" w:rsidRPr="00EF5593" w:rsidRDefault="00F60143" w:rsidP="00F60143">
      <w:pPr>
        <w:pStyle w:val="LRWLBodyText"/>
      </w:pPr>
      <w:r w:rsidRPr="00EF5593">
        <w:t xml:space="preserve">In addition to the secure facilities identified above, </w:t>
      </w:r>
      <w:r>
        <w:t xml:space="preserve">the </w:t>
      </w:r>
      <w:r w:rsidR="00A146AC">
        <w:t>Contractor</w:t>
      </w:r>
      <w:r w:rsidRPr="00EF5593">
        <w:t xml:space="preserve"> shall be required to adhere to any and all security polic</w:t>
      </w:r>
      <w:r>
        <w:t>ies</w:t>
      </w:r>
      <w:r w:rsidRPr="00EF5593">
        <w:t>/process</w:t>
      </w:r>
      <w:r>
        <w:t>es</w:t>
      </w:r>
      <w:r w:rsidRPr="00EF5593">
        <w:t xml:space="preserve"> </w:t>
      </w:r>
      <w:r>
        <w:t>that</w:t>
      </w:r>
      <w:r w:rsidRPr="00EF5593">
        <w:t xml:space="preserve"> may be in place at a State office location</w:t>
      </w:r>
      <w:r w:rsidR="00FD41A7">
        <w:t xml:space="preserve"> and local government location (refer to Appendix 4 State Work Locations (non-DOC)</w:t>
      </w:r>
      <w:r w:rsidRPr="00EF5593">
        <w:t>.</w:t>
      </w:r>
    </w:p>
    <w:p w14:paraId="5DE0D752" w14:textId="3F38167E" w:rsidR="00F60143" w:rsidRPr="00EF5593" w:rsidRDefault="00F60143" w:rsidP="00F60143">
      <w:pPr>
        <w:pStyle w:val="LRWLBodyText"/>
      </w:pPr>
      <w:r>
        <w:t xml:space="preserve">The </w:t>
      </w:r>
      <w:r w:rsidR="00A146AC">
        <w:t>Contractor</w:t>
      </w:r>
      <w:r w:rsidRPr="00EF5593">
        <w:t xml:space="preserve"> must comply with all security and identification procedures at each location at no additional cost to the State.</w:t>
      </w:r>
    </w:p>
    <w:p w14:paraId="15B14453" w14:textId="5803B5EC" w:rsidR="00F60143" w:rsidRDefault="00F60143" w:rsidP="00C24676">
      <w:pPr>
        <w:pStyle w:val="LRWLBodyText"/>
        <w:numPr>
          <w:ilvl w:val="0"/>
          <w:numId w:val="11"/>
        </w:numPr>
        <w:rPr>
          <w:rFonts w:eastAsiaTheme="minorHAnsi"/>
        </w:rPr>
      </w:pPr>
      <w:r>
        <w:rPr>
          <w:rFonts w:eastAsiaTheme="minorHAnsi"/>
        </w:rPr>
        <w:t xml:space="preserve">The </w:t>
      </w:r>
      <w:r w:rsidR="00A146AC">
        <w:rPr>
          <w:rFonts w:eastAsiaTheme="minorHAnsi"/>
        </w:rPr>
        <w:t>Contractor</w:t>
      </w:r>
      <w:r w:rsidRPr="00EF5593">
        <w:rPr>
          <w:rFonts w:eastAsiaTheme="minorHAnsi"/>
        </w:rPr>
        <w:t xml:space="preserve"> </w:t>
      </w:r>
      <w:r>
        <w:rPr>
          <w:rFonts w:eastAsiaTheme="minorHAnsi"/>
        </w:rPr>
        <w:t>is</w:t>
      </w:r>
      <w:r w:rsidRPr="00EF5593">
        <w:rPr>
          <w:rFonts w:eastAsiaTheme="minorHAnsi"/>
        </w:rPr>
        <w:t xml:space="preserve"> responsible for communicating common security restriction</w:t>
      </w:r>
      <w:r>
        <w:rPr>
          <w:rFonts w:eastAsiaTheme="minorHAnsi"/>
        </w:rPr>
        <w:t>s</w:t>
      </w:r>
      <w:r w:rsidRPr="00EF5593">
        <w:rPr>
          <w:rFonts w:eastAsiaTheme="minorHAnsi"/>
        </w:rPr>
        <w:t xml:space="preserve"> to all </w:t>
      </w:r>
      <w:r w:rsidR="00A146AC">
        <w:rPr>
          <w:rFonts w:eastAsiaTheme="minorHAnsi"/>
        </w:rPr>
        <w:t>Contractor</w:t>
      </w:r>
      <w:r>
        <w:rPr>
          <w:rFonts w:eastAsiaTheme="minorHAnsi"/>
        </w:rPr>
        <w:t xml:space="preserve"> employees and </w:t>
      </w:r>
      <w:r w:rsidR="004B5F57">
        <w:rPr>
          <w:rFonts w:eastAsiaTheme="minorHAnsi"/>
        </w:rPr>
        <w:t>S</w:t>
      </w:r>
      <w:r w:rsidRPr="00EF5593">
        <w:rPr>
          <w:rFonts w:eastAsiaTheme="minorHAnsi"/>
        </w:rPr>
        <w:t>ubcontractors.</w:t>
      </w:r>
    </w:p>
    <w:p w14:paraId="4C96EE55" w14:textId="0840BB39" w:rsidR="00F60143" w:rsidRPr="00EF5593" w:rsidRDefault="00F60143" w:rsidP="00C24676">
      <w:pPr>
        <w:pStyle w:val="LRWLBodyText"/>
        <w:numPr>
          <w:ilvl w:val="0"/>
          <w:numId w:val="11"/>
        </w:numPr>
        <w:jc w:val="both"/>
        <w:rPr>
          <w:rFonts w:eastAsiaTheme="minorHAnsi"/>
        </w:rPr>
      </w:pPr>
      <w:r w:rsidRPr="00EF5593">
        <w:rPr>
          <w:rFonts w:eastAsiaTheme="minorHAnsi"/>
        </w:rPr>
        <w:t xml:space="preserve">Identification:  All </w:t>
      </w:r>
      <w:r w:rsidR="00A146AC">
        <w:rPr>
          <w:rFonts w:eastAsiaTheme="minorHAnsi"/>
        </w:rPr>
        <w:t>Contractor</w:t>
      </w:r>
      <w:r w:rsidR="004B5F57">
        <w:rPr>
          <w:rFonts w:eastAsiaTheme="minorHAnsi"/>
        </w:rPr>
        <w:t xml:space="preserve"> employees and S</w:t>
      </w:r>
      <w:r>
        <w:rPr>
          <w:rFonts w:eastAsiaTheme="minorHAnsi"/>
        </w:rPr>
        <w:t>ub</w:t>
      </w:r>
      <w:r w:rsidRPr="00EF5593">
        <w:rPr>
          <w:rFonts w:eastAsiaTheme="minorHAnsi"/>
        </w:rPr>
        <w:t>contractor</w:t>
      </w:r>
      <w:r>
        <w:rPr>
          <w:rFonts w:eastAsiaTheme="minorHAnsi"/>
        </w:rPr>
        <w:t>s</w:t>
      </w:r>
      <w:r w:rsidRPr="00EF5593">
        <w:rPr>
          <w:rFonts w:eastAsiaTheme="minorHAnsi"/>
        </w:rPr>
        <w:t xml:space="preserve">, while working on State property, are required to carry or display acceptable identification. Requirements vary by </w:t>
      </w:r>
      <w:r>
        <w:rPr>
          <w:rFonts w:eastAsiaTheme="minorHAnsi"/>
        </w:rPr>
        <w:t>State a</w:t>
      </w:r>
      <w:r w:rsidRPr="00EF5593">
        <w:rPr>
          <w:rFonts w:eastAsiaTheme="minorHAnsi"/>
        </w:rPr>
        <w:t>gency.  Some facilities require visible photo identification in the form of a badge, while some correctional facilities may require a valid driver’s license.</w:t>
      </w:r>
    </w:p>
    <w:p w14:paraId="554205F9" w14:textId="61ECE0BD" w:rsidR="00F60143" w:rsidRPr="00EF5593" w:rsidRDefault="00F60143" w:rsidP="00C24676">
      <w:pPr>
        <w:pStyle w:val="LRWLBodyText"/>
        <w:numPr>
          <w:ilvl w:val="0"/>
          <w:numId w:val="11"/>
        </w:numPr>
        <w:jc w:val="both"/>
        <w:rPr>
          <w:rFonts w:eastAsiaTheme="minorHAnsi"/>
        </w:rPr>
      </w:pPr>
      <w:r w:rsidRPr="00EF5593">
        <w:rPr>
          <w:rFonts w:eastAsiaTheme="minorHAnsi"/>
        </w:rPr>
        <w:t>Vehicle Security:  All</w:t>
      </w:r>
      <w:r>
        <w:rPr>
          <w:rFonts w:eastAsiaTheme="minorHAnsi"/>
        </w:rPr>
        <w:t xml:space="preserve"> </w:t>
      </w:r>
      <w:r w:rsidR="00A146AC">
        <w:rPr>
          <w:rFonts w:eastAsiaTheme="minorHAnsi"/>
        </w:rPr>
        <w:t>Contractor</w:t>
      </w:r>
      <w:r>
        <w:rPr>
          <w:rFonts w:eastAsiaTheme="minorHAnsi"/>
        </w:rPr>
        <w:t xml:space="preserve"> employees’ and</w:t>
      </w:r>
      <w:r w:rsidRPr="00EF5593">
        <w:rPr>
          <w:rFonts w:eastAsiaTheme="minorHAnsi"/>
        </w:rPr>
        <w:t xml:space="preserve"> </w:t>
      </w:r>
      <w:r w:rsidR="004B5F57">
        <w:rPr>
          <w:rFonts w:eastAsiaTheme="minorHAnsi"/>
        </w:rPr>
        <w:t>S</w:t>
      </w:r>
      <w:r>
        <w:rPr>
          <w:rFonts w:eastAsiaTheme="minorHAnsi"/>
        </w:rPr>
        <w:t>ub</w:t>
      </w:r>
      <w:r w:rsidRPr="00EF5593">
        <w:rPr>
          <w:rFonts w:eastAsiaTheme="minorHAnsi"/>
        </w:rPr>
        <w:t>contractors</w:t>
      </w:r>
      <w:r>
        <w:rPr>
          <w:rFonts w:eastAsiaTheme="minorHAnsi"/>
        </w:rPr>
        <w:t>’</w:t>
      </w:r>
      <w:r w:rsidRPr="00EF5593">
        <w:rPr>
          <w:rFonts w:eastAsiaTheme="minorHAnsi"/>
        </w:rPr>
        <w:t xml:space="preserve"> vehicles must be locked when the vehicle is unattended.</w:t>
      </w:r>
    </w:p>
    <w:p w14:paraId="60EC0C27" w14:textId="4FED42B3" w:rsidR="00F60143" w:rsidRPr="00EF5593" w:rsidRDefault="00F60143" w:rsidP="00C24676">
      <w:pPr>
        <w:pStyle w:val="LRWLBodyText"/>
        <w:numPr>
          <w:ilvl w:val="0"/>
          <w:numId w:val="11"/>
        </w:numPr>
        <w:jc w:val="both"/>
        <w:rPr>
          <w:rFonts w:eastAsiaTheme="minorHAnsi"/>
        </w:rPr>
      </w:pPr>
      <w:r w:rsidRPr="00EF5593">
        <w:rPr>
          <w:rFonts w:eastAsiaTheme="minorHAnsi"/>
        </w:rPr>
        <w:t>Patient/inmate Contact:  Fraternization with inmates and patients is prohibited. In the event of contact,</w:t>
      </w:r>
      <w:r>
        <w:rPr>
          <w:rFonts w:eastAsiaTheme="minorHAnsi"/>
        </w:rPr>
        <w:t xml:space="preserve"> the </w:t>
      </w:r>
      <w:r w:rsidR="00A146AC">
        <w:rPr>
          <w:rFonts w:eastAsiaTheme="minorHAnsi"/>
        </w:rPr>
        <w:t>Contractor</w:t>
      </w:r>
      <w:r>
        <w:rPr>
          <w:rFonts w:eastAsiaTheme="minorHAnsi"/>
        </w:rPr>
        <w:t xml:space="preserve"> </w:t>
      </w:r>
      <w:r w:rsidRPr="00EF5593">
        <w:rPr>
          <w:rFonts w:eastAsiaTheme="minorHAnsi"/>
        </w:rPr>
        <w:t xml:space="preserve">must report </w:t>
      </w:r>
      <w:r>
        <w:rPr>
          <w:rFonts w:eastAsiaTheme="minorHAnsi"/>
        </w:rPr>
        <w:t>such</w:t>
      </w:r>
      <w:r w:rsidRPr="00EF5593">
        <w:rPr>
          <w:rFonts w:eastAsiaTheme="minorHAnsi"/>
        </w:rPr>
        <w:t xml:space="preserve"> contact to the </w:t>
      </w:r>
      <w:r>
        <w:rPr>
          <w:rFonts w:eastAsiaTheme="minorHAnsi"/>
        </w:rPr>
        <w:t>State a</w:t>
      </w:r>
      <w:r w:rsidRPr="00EF5593">
        <w:rPr>
          <w:rFonts w:eastAsiaTheme="minorHAnsi"/>
        </w:rPr>
        <w:t>gency</w:t>
      </w:r>
      <w:r>
        <w:rPr>
          <w:rFonts w:eastAsiaTheme="minorHAnsi"/>
        </w:rPr>
        <w:t xml:space="preserve"> where the contact took place</w:t>
      </w:r>
      <w:r w:rsidRPr="00EF5593">
        <w:rPr>
          <w:rFonts w:eastAsiaTheme="minorHAnsi"/>
        </w:rPr>
        <w:t xml:space="preserve"> before leaving the </w:t>
      </w:r>
      <w:r>
        <w:rPr>
          <w:rFonts w:eastAsiaTheme="minorHAnsi"/>
        </w:rPr>
        <w:t>facility</w:t>
      </w:r>
      <w:r w:rsidRPr="00EF5593">
        <w:rPr>
          <w:rFonts w:eastAsiaTheme="minorHAnsi"/>
        </w:rPr>
        <w:t>. Nothing is to be given to inmates or patients (</w:t>
      </w:r>
      <w:r>
        <w:rPr>
          <w:rFonts w:eastAsiaTheme="minorHAnsi"/>
        </w:rPr>
        <w:t xml:space="preserve">e.g. </w:t>
      </w:r>
      <w:r w:rsidRPr="00EF5593">
        <w:rPr>
          <w:rFonts w:eastAsiaTheme="minorHAnsi"/>
        </w:rPr>
        <w:t>food, mail, money, newspapers or magazines, etc.) without authorization and nothing i</w:t>
      </w:r>
      <w:r>
        <w:rPr>
          <w:rFonts w:eastAsiaTheme="minorHAnsi"/>
        </w:rPr>
        <w:t>s</w:t>
      </w:r>
      <w:r w:rsidRPr="00EF5593">
        <w:rPr>
          <w:rFonts w:eastAsiaTheme="minorHAnsi"/>
        </w:rPr>
        <w:t xml:space="preserve"> to be received from inmates or patients or remov</w:t>
      </w:r>
      <w:r>
        <w:rPr>
          <w:rFonts w:eastAsiaTheme="minorHAnsi"/>
        </w:rPr>
        <w:t>ed</w:t>
      </w:r>
      <w:r w:rsidRPr="00EF5593">
        <w:rPr>
          <w:rFonts w:eastAsiaTheme="minorHAnsi"/>
        </w:rPr>
        <w:t xml:space="preserve"> or transport</w:t>
      </w:r>
      <w:r>
        <w:rPr>
          <w:rFonts w:eastAsiaTheme="minorHAnsi"/>
        </w:rPr>
        <w:t>ed</w:t>
      </w:r>
      <w:r w:rsidRPr="00EF5593">
        <w:rPr>
          <w:rFonts w:eastAsiaTheme="minorHAnsi"/>
        </w:rPr>
        <w:t xml:space="preserve"> from secure facilities.</w:t>
      </w:r>
    </w:p>
    <w:p w14:paraId="5A9B272E" w14:textId="3FF1169E" w:rsidR="00F60143" w:rsidRPr="00EF5593" w:rsidRDefault="00F60143" w:rsidP="00C24676">
      <w:pPr>
        <w:pStyle w:val="LRWLBodyText"/>
        <w:numPr>
          <w:ilvl w:val="0"/>
          <w:numId w:val="11"/>
        </w:numPr>
        <w:jc w:val="both"/>
      </w:pPr>
      <w:r w:rsidRPr="00EF5593">
        <w:t xml:space="preserve">Use of Tobacco Products:  </w:t>
      </w:r>
      <w:r w:rsidR="00A146AC">
        <w:t>Contractor</w:t>
      </w:r>
      <w:r w:rsidR="004B5F57">
        <w:t>’s and S</w:t>
      </w:r>
      <w:r>
        <w:t>ubcontractors’</w:t>
      </w:r>
      <w:r w:rsidRPr="00EF5593">
        <w:t xml:space="preserve"> employees should refrain from using tobacco products while providing services on-site. Disregard of the facilities’ policies concerning tobacco use could result in a fine and immediate expulsion of </w:t>
      </w:r>
      <w:r w:rsidR="00A146AC">
        <w:t>Contractor</w:t>
      </w:r>
      <w:r>
        <w:t>’s</w:t>
      </w:r>
      <w:r w:rsidRPr="00EF5593">
        <w:t xml:space="preserve"> and </w:t>
      </w:r>
      <w:r>
        <w:t xml:space="preserve">any </w:t>
      </w:r>
      <w:r w:rsidR="00A146AC">
        <w:t>Contractor</w:t>
      </w:r>
      <w:r>
        <w:t xml:space="preserve"> </w:t>
      </w:r>
      <w:r w:rsidR="004B5F57">
        <w:t>S</w:t>
      </w:r>
      <w:r w:rsidRPr="00EF5593">
        <w:t>ubcontractor’s employee(s) off the State’s property.</w:t>
      </w:r>
    </w:p>
    <w:p w14:paraId="0D3B08F3" w14:textId="164F05A5" w:rsidR="00F60143" w:rsidRPr="00EF5593" w:rsidRDefault="00F60143" w:rsidP="00C24676">
      <w:pPr>
        <w:pStyle w:val="LRWLBodyText"/>
        <w:numPr>
          <w:ilvl w:val="0"/>
          <w:numId w:val="11"/>
        </w:numPr>
        <w:jc w:val="both"/>
      </w:pPr>
      <w:r w:rsidRPr="00EF5593">
        <w:t xml:space="preserve">Background </w:t>
      </w:r>
      <w:r>
        <w:t>c</w:t>
      </w:r>
      <w:r w:rsidRPr="00EF5593">
        <w:t>hecks</w:t>
      </w:r>
      <w:r>
        <w:t xml:space="preserve"> are required as per </w:t>
      </w:r>
      <w:r w:rsidR="00533C95">
        <w:t>Exhibit 4 Department Terms and Conditions</w:t>
      </w:r>
      <w:r>
        <w:t xml:space="preserve"> and must be </w:t>
      </w:r>
      <w:r w:rsidRPr="00EF5593">
        <w:t>successfully completed prior to arrival</w:t>
      </w:r>
      <w:r>
        <w:t xml:space="preserve"> at any State facility</w:t>
      </w:r>
      <w:r w:rsidRPr="00EF5593">
        <w:t>.</w:t>
      </w:r>
    </w:p>
    <w:p w14:paraId="2CD301B5" w14:textId="77777777" w:rsidR="00F60143" w:rsidRPr="00EF5593" w:rsidRDefault="00F60143" w:rsidP="00C24676">
      <w:pPr>
        <w:pStyle w:val="LRWLBodyText"/>
        <w:numPr>
          <w:ilvl w:val="0"/>
          <w:numId w:val="11"/>
        </w:numPr>
        <w:jc w:val="both"/>
      </w:pPr>
      <w:r w:rsidRPr="00EF5593">
        <w:t xml:space="preserve">Contraband: </w:t>
      </w:r>
      <w:r>
        <w:t xml:space="preserve"> </w:t>
      </w:r>
      <w:r w:rsidRPr="00EF5593">
        <w:t xml:space="preserve">Although specific policies vary somewhat between </w:t>
      </w:r>
      <w:r>
        <w:t xml:space="preserve">State </w:t>
      </w:r>
      <w:r w:rsidRPr="00EF5593">
        <w:t xml:space="preserve">facilities, contraband items are prohibited </w:t>
      </w:r>
      <w:r>
        <w:t>from being carried by any and</w:t>
      </w:r>
      <w:r w:rsidRPr="00EF5593">
        <w:t xml:space="preserve"> </w:t>
      </w:r>
      <w:r>
        <w:t>all</w:t>
      </w:r>
      <w:r w:rsidRPr="00EF5593">
        <w:t xml:space="preserve"> person</w:t>
      </w:r>
      <w:r>
        <w:t>s</w:t>
      </w:r>
      <w:r w:rsidRPr="00EF5593">
        <w:t xml:space="preserve">.  Items may be left at </w:t>
      </w:r>
      <w:r>
        <w:t xml:space="preserve">the facility’s </w:t>
      </w:r>
      <w:r w:rsidRPr="00EF5593">
        <w:t>security</w:t>
      </w:r>
      <w:r>
        <w:t xml:space="preserve"> office</w:t>
      </w:r>
      <w:r w:rsidRPr="00EF5593">
        <w:t>, however, illegal items will not be returned. Contraband items include, but are not limited to:</w:t>
      </w:r>
    </w:p>
    <w:p w14:paraId="42748D1E" w14:textId="77777777" w:rsidR="00D46699" w:rsidRPr="00EF5593" w:rsidRDefault="00D46699" w:rsidP="00C24676">
      <w:pPr>
        <w:pStyle w:val="LRWLBodyText"/>
        <w:numPr>
          <w:ilvl w:val="1"/>
          <w:numId w:val="11"/>
        </w:numPr>
        <w:jc w:val="both"/>
      </w:pPr>
      <w:r w:rsidRPr="00EF5593">
        <w:t>Drugs</w:t>
      </w:r>
      <w:r>
        <w:t>;</w:t>
      </w:r>
    </w:p>
    <w:p w14:paraId="0C567E1C" w14:textId="77777777" w:rsidR="00D46699" w:rsidRPr="00EF5593" w:rsidRDefault="00D46699" w:rsidP="00C24676">
      <w:pPr>
        <w:pStyle w:val="LRWLBodyText"/>
        <w:numPr>
          <w:ilvl w:val="1"/>
          <w:numId w:val="11"/>
        </w:numPr>
        <w:jc w:val="both"/>
      </w:pPr>
      <w:r w:rsidRPr="00EF5593">
        <w:t>tobacco products</w:t>
      </w:r>
      <w:r>
        <w:t>;</w:t>
      </w:r>
    </w:p>
    <w:p w14:paraId="6D30B337" w14:textId="77777777" w:rsidR="00D46699" w:rsidRPr="00EF5593" w:rsidRDefault="00D46699" w:rsidP="00C24676">
      <w:pPr>
        <w:pStyle w:val="LRWLBodyText"/>
        <w:numPr>
          <w:ilvl w:val="1"/>
          <w:numId w:val="11"/>
        </w:numPr>
        <w:jc w:val="both"/>
      </w:pPr>
      <w:r>
        <w:t>mobile</w:t>
      </w:r>
      <w:r w:rsidRPr="00EF5593">
        <w:t xml:space="preserve"> phones</w:t>
      </w:r>
      <w:r>
        <w:t>;</w:t>
      </w:r>
    </w:p>
    <w:p w14:paraId="005823EB" w14:textId="77777777" w:rsidR="00D46699" w:rsidRPr="00EF5593" w:rsidRDefault="00D46699" w:rsidP="00C24676">
      <w:pPr>
        <w:pStyle w:val="LRWLBodyText"/>
        <w:numPr>
          <w:ilvl w:val="1"/>
          <w:numId w:val="11"/>
        </w:numPr>
        <w:jc w:val="both"/>
      </w:pPr>
      <w:r w:rsidRPr="00EF5593">
        <w:t>adult or pornographic materials</w:t>
      </w:r>
      <w:r>
        <w:t>; and,</w:t>
      </w:r>
    </w:p>
    <w:p w14:paraId="5066A73E" w14:textId="77777777" w:rsidR="00D46699" w:rsidRPr="00EF5593" w:rsidRDefault="00D46699" w:rsidP="00C24676">
      <w:pPr>
        <w:pStyle w:val="LRWLBodyText"/>
        <w:numPr>
          <w:ilvl w:val="1"/>
          <w:numId w:val="11"/>
        </w:numPr>
        <w:jc w:val="both"/>
      </w:pPr>
      <w:proofErr w:type="gramStart"/>
      <w:r w:rsidRPr="00EF5593">
        <w:t>explosives</w:t>
      </w:r>
      <w:proofErr w:type="gramEnd"/>
      <w:r w:rsidRPr="00EF5593">
        <w:t xml:space="preserve"> and weapons (including pocket and razor knives)</w:t>
      </w:r>
      <w:r>
        <w:t>.</w:t>
      </w:r>
    </w:p>
    <w:p w14:paraId="53FFDFC0" w14:textId="77777777" w:rsidR="00F60143" w:rsidRPr="00EF5593" w:rsidRDefault="00F60143" w:rsidP="00C24676">
      <w:pPr>
        <w:pStyle w:val="LRWLBodyText"/>
        <w:numPr>
          <w:ilvl w:val="0"/>
          <w:numId w:val="12"/>
        </w:numPr>
        <w:jc w:val="both"/>
      </w:pPr>
      <w:r>
        <w:t>Persons</w:t>
      </w:r>
      <w:r w:rsidRPr="00EF5593">
        <w:t xml:space="preserve"> walking in</w:t>
      </w:r>
      <w:r>
        <w:t>to any State facility</w:t>
      </w:r>
      <w:r w:rsidRPr="00EF5593">
        <w:t xml:space="preserve"> may be required to pass through a metal detector and/or have all carry-in items x-rayed or searched.</w:t>
      </w:r>
    </w:p>
    <w:p w14:paraId="1A37BB78" w14:textId="77777777" w:rsidR="00F60143" w:rsidRPr="00EF5593" w:rsidRDefault="00F60143" w:rsidP="00C24676">
      <w:pPr>
        <w:pStyle w:val="LRWLBodyText"/>
        <w:numPr>
          <w:ilvl w:val="0"/>
          <w:numId w:val="12"/>
        </w:numPr>
        <w:jc w:val="both"/>
      </w:pPr>
      <w:r>
        <w:lastRenderedPageBreak/>
        <w:t>The employer group event coordinators at</w:t>
      </w:r>
      <w:r w:rsidRPr="00EF5593">
        <w:t xml:space="preserve"> secure </w:t>
      </w:r>
      <w:r>
        <w:t xml:space="preserve">corrections and treatment </w:t>
      </w:r>
      <w:r w:rsidRPr="00EF5593">
        <w:t xml:space="preserve">facilities have the right to </w:t>
      </w:r>
      <w:r>
        <w:t>implement registration management processes that ensure the shift duties and responsibilities of Participants are not impacted by screening participation.</w:t>
      </w:r>
    </w:p>
    <w:p w14:paraId="14F2DBF7" w14:textId="486BDEFE" w:rsidR="00397A29" w:rsidRPr="00397A29" w:rsidRDefault="00F57731" w:rsidP="00644C74">
      <w:pPr>
        <w:pStyle w:val="Heading2"/>
        <w:ind w:hanging="1926"/>
      </w:pPr>
      <w:r>
        <w:t>Health Risk Assessment</w:t>
      </w:r>
      <w:r w:rsidR="0074089A">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7D2C86" w14:paraId="16883124" w14:textId="77777777" w:rsidTr="0059128F">
        <w:tc>
          <w:tcPr>
            <w:tcW w:w="535" w:type="dxa"/>
          </w:tcPr>
          <w:p w14:paraId="4B15946D" w14:textId="77777777" w:rsidR="007D2C86" w:rsidRDefault="007D2C86" w:rsidP="00F01E1A">
            <w:pPr>
              <w:pStyle w:val="ListParagraph"/>
              <w:numPr>
                <w:ilvl w:val="0"/>
                <w:numId w:val="18"/>
              </w:numPr>
            </w:pPr>
          </w:p>
        </w:tc>
        <w:tc>
          <w:tcPr>
            <w:tcW w:w="8815" w:type="dxa"/>
            <w:vAlign w:val="bottom"/>
          </w:tcPr>
          <w:p w14:paraId="195DD85D" w14:textId="24615DD0" w:rsidR="0039499C" w:rsidRDefault="008D6062" w:rsidP="0039499C">
            <w:pPr>
              <w:pStyle w:val="LRWLBodyText"/>
              <w:rPr>
                <w:rFonts w:cs="Arial"/>
              </w:rPr>
            </w:pPr>
            <w:r>
              <w:rPr>
                <w:rFonts w:cs="Arial"/>
              </w:rPr>
              <w:t xml:space="preserve">The </w:t>
            </w:r>
            <w:r w:rsidR="00A146AC">
              <w:rPr>
                <w:rFonts w:cs="Arial"/>
              </w:rPr>
              <w:t>Contractor</w:t>
            </w:r>
            <w:r w:rsidR="007D2C86" w:rsidRPr="006518F1">
              <w:rPr>
                <w:rFonts w:cs="Arial"/>
              </w:rPr>
              <w:t xml:space="preserve"> must</w:t>
            </w:r>
            <w:r w:rsidR="007951AC">
              <w:rPr>
                <w:rFonts w:cs="Arial"/>
              </w:rPr>
              <w:t xml:space="preserve"> provide a </w:t>
            </w:r>
            <w:r w:rsidR="0074089A">
              <w:rPr>
                <w:rFonts w:cs="Arial"/>
              </w:rPr>
              <w:t xml:space="preserve">health risk assessment </w:t>
            </w:r>
            <w:r w:rsidR="0039499C">
              <w:rPr>
                <w:rFonts w:cs="Arial"/>
              </w:rPr>
              <w:t>that:</w:t>
            </w:r>
          </w:p>
          <w:p w14:paraId="25618C15" w14:textId="051143D5" w:rsidR="007F5213" w:rsidRDefault="007F5213" w:rsidP="00F01E1A">
            <w:pPr>
              <w:pStyle w:val="LRWLBodyText"/>
              <w:numPr>
                <w:ilvl w:val="0"/>
                <w:numId w:val="43"/>
              </w:numPr>
              <w:rPr>
                <w:rFonts w:cs="Arial"/>
              </w:rPr>
            </w:pPr>
            <w:r>
              <w:rPr>
                <w:rFonts w:cs="Arial"/>
              </w:rPr>
              <w:t>Is an instrument validated by a nationally recognized third party</w:t>
            </w:r>
            <w:r w:rsidR="004B5F57">
              <w:rPr>
                <w:rFonts w:cs="Arial"/>
              </w:rPr>
              <w:t xml:space="preserve"> but can be customized with ETF-</w:t>
            </w:r>
            <w:r>
              <w:rPr>
                <w:rFonts w:cs="Arial"/>
              </w:rPr>
              <w:t xml:space="preserve">provided questions at the end of the assessment;  </w:t>
            </w:r>
          </w:p>
          <w:p w14:paraId="395DA7FF" w14:textId="55FEED97" w:rsidR="0039499C" w:rsidRDefault="00E9095A" w:rsidP="00F01E1A">
            <w:pPr>
              <w:pStyle w:val="LRWLBodyText"/>
              <w:numPr>
                <w:ilvl w:val="0"/>
                <w:numId w:val="43"/>
              </w:numPr>
              <w:rPr>
                <w:rFonts w:cs="Arial"/>
              </w:rPr>
            </w:pPr>
            <w:r>
              <w:rPr>
                <w:rFonts w:cs="Arial"/>
              </w:rPr>
              <w:t xml:space="preserve">May </w:t>
            </w:r>
            <w:r w:rsidR="0039499C">
              <w:rPr>
                <w:rFonts w:cs="Arial"/>
              </w:rPr>
              <w:t>be</w:t>
            </w:r>
            <w:r w:rsidR="007D2C86" w:rsidRPr="006518F1">
              <w:rPr>
                <w:rFonts w:cs="Arial"/>
              </w:rPr>
              <w:t xml:space="preserve"> completed</w:t>
            </w:r>
            <w:r w:rsidR="0039499C">
              <w:rPr>
                <w:rFonts w:cs="Arial"/>
              </w:rPr>
              <w:t xml:space="preserve">, on average, in </w:t>
            </w:r>
            <w:r w:rsidR="009D4FF8">
              <w:rPr>
                <w:rFonts w:cs="Arial"/>
              </w:rPr>
              <w:t>fifteen (</w:t>
            </w:r>
            <w:r w:rsidR="0039499C">
              <w:rPr>
                <w:rFonts w:cs="Arial"/>
              </w:rPr>
              <w:t>15</w:t>
            </w:r>
            <w:r w:rsidR="009D4FF8">
              <w:rPr>
                <w:rFonts w:cs="Arial"/>
              </w:rPr>
              <w:t>)</w:t>
            </w:r>
            <w:r w:rsidR="0039499C">
              <w:rPr>
                <w:rFonts w:cs="Arial"/>
              </w:rPr>
              <w:t xml:space="preserve"> minutes or less</w:t>
            </w:r>
            <w:r w:rsidR="00ED690F">
              <w:rPr>
                <w:rFonts w:cs="Arial"/>
              </w:rPr>
              <w:t>;</w:t>
            </w:r>
          </w:p>
          <w:p w14:paraId="1D1F6196" w14:textId="7476B537" w:rsidR="007D2C86" w:rsidRDefault="007951AC" w:rsidP="00F01E1A">
            <w:pPr>
              <w:pStyle w:val="LRWLBodyText"/>
              <w:numPr>
                <w:ilvl w:val="0"/>
                <w:numId w:val="43"/>
              </w:numPr>
              <w:rPr>
                <w:rFonts w:cs="Arial"/>
              </w:rPr>
            </w:pPr>
            <w:r>
              <w:rPr>
                <w:rFonts w:cs="Arial"/>
              </w:rPr>
              <w:t xml:space="preserve">Measures </w:t>
            </w:r>
            <w:r w:rsidR="007D2C86" w:rsidRPr="0039499C">
              <w:rPr>
                <w:rFonts w:cs="Arial"/>
              </w:rPr>
              <w:t>modifiable health r</w:t>
            </w:r>
            <w:r w:rsidR="0005128D">
              <w:rPr>
                <w:rFonts w:cs="Arial"/>
              </w:rPr>
              <w:t>isk behaviors</w:t>
            </w:r>
            <w:r w:rsidR="00E9095A">
              <w:rPr>
                <w:rFonts w:cs="Arial"/>
              </w:rPr>
              <w:t xml:space="preserve"> and readiness to change,</w:t>
            </w:r>
            <w:r w:rsidR="0005128D">
              <w:rPr>
                <w:rFonts w:cs="Arial"/>
              </w:rPr>
              <w:t xml:space="preserve"> and stratifies</w:t>
            </w:r>
            <w:r>
              <w:rPr>
                <w:rFonts w:cs="Arial"/>
              </w:rPr>
              <w:t xml:space="preserve"> risk</w:t>
            </w:r>
            <w:r w:rsidR="00ED690F">
              <w:rPr>
                <w:rFonts w:cs="Arial"/>
              </w:rPr>
              <w:t>;</w:t>
            </w:r>
          </w:p>
          <w:p w14:paraId="30120E18" w14:textId="0F898938" w:rsidR="007951AC" w:rsidRDefault="007951AC" w:rsidP="00F01E1A">
            <w:pPr>
              <w:pStyle w:val="LRWLBodyText"/>
              <w:numPr>
                <w:ilvl w:val="0"/>
                <w:numId w:val="43"/>
              </w:numPr>
              <w:rPr>
                <w:rFonts w:cs="Arial"/>
              </w:rPr>
            </w:pPr>
            <w:r>
              <w:rPr>
                <w:rFonts w:cs="Arial"/>
              </w:rPr>
              <w:t xml:space="preserve">Is available on the </w:t>
            </w:r>
            <w:r w:rsidR="008C379A">
              <w:rPr>
                <w:rFonts w:cs="Arial"/>
              </w:rPr>
              <w:t>web-portal</w:t>
            </w:r>
            <w:r w:rsidR="00CC3E22">
              <w:rPr>
                <w:rFonts w:cs="Arial"/>
              </w:rPr>
              <w:t>.</w:t>
            </w:r>
            <w:r>
              <w:rPr>
                <w:rFonts w:cs="Arial"/>
              </w:rPr>
              <w:t xml:space="preserve"> </w:t>
            </w:r>
            <w:r w:rsidR="00CC3E22">
              <w:rPr>
                <w:rFonts w:cs="Arial"/>
              </w:rPr>
              <w:t>F</w:t>
            </w:r>
            <w:r>
              <w:rPr>
                <w:rFonts w:cs="Arial"/>
              </w:rPr>
              <w:t xml:space="preserve">or Participant’s unable to complete the health risk assessment in the </w:t>
            </w:r>
            <w:r w:rsidR="008C379A">
              <w:rPr>
                <w:rFonts w:cs="Arial"/>
              </w:rPr>
              <w:t>web-portal</w:t>
            </w:r>
            <w:r>
              <w:rPr>
                <w:rFonts w:cs="Arial"/>
              </w:rPr>
              <w:t xml:space="preserve">, the </w:t>
            </w:r>
            <w:r w:rsidR="00A146AC">
              <w:rPr>
                <w:rFonts w:cs="Arial"/>
              </w:rPr>
              <w:t>Contractor</w:t>
            </w:r>
            <w:r>
              <w:rPr>
                <w:rFonts w:cs="Arial"/>
              </w:rPr>
              <w:t xml:space="preserve"> must provide the ability for the Participant to complete it by </w:t>
            </w:r>
            <w:r w:rsidR="00E9095A">
              <w:rPr>
                <w:rFonts w:cs="Arial"/>
              </w:rPr>
              <w:t xml:space="preserve">mobile </w:t>
            </w:r>
            <w:r>
              <w:rPr>
                <w:rFonts w:cs="Arial"/>
              </w:rPr>
              <w:t>phone</w:t>
            </w:r>
            <w:r w:rsidR="00E9095A">
              <w:rPr>
                <w:rFonts w:cs="Arial"/>
              </w:rPr>
              <w:t>, landline phone,</w:t>
            </w:r>
            <w:r>
              <w:rPr>
                <w:rFonts w:cs="Arial"/>
              </w:rPr>
              <w:t xml:space="preserve"> or by paper, whichever is the preferred submission type for the individual Participant</w:t>
            </w:r>
            <w:r w:rsidR="00ED690F">
              <w:rPr>
                <w:rFonts w:cs="Arial"/>
              </w:rPr>
              <w:t>; and</w:t>
            </w:r>
          </w:p>
          <w:p w14:paraId="15EBEA4C" w14:textId="2153B21B" w:rsidR="007951AC" w:rsidRPr="0039499C" w:rsidRDefault="007951AC" w:rsidP="00F01E1A">
            <w:pPr>
              <w:pStyle w:val="LRWLBodyText"/>
              <w:numPr>
                <w:ilvl w:val="0"/>
                <w:numId w:val="43"/>
              </w:numPr>
              <w:rPr>
                <w:rFonts w:cs="Arial"/>
              </w:rPr>
            </w:pPr>
            <w:r>
              <w:rPr>
                <w:rFonts w:cs="Arial"/>
              </w:rPr>
              <w:t>A</w:t>
            </w:r>
            <w:r w:rsidRPr="0074089A">
              <w:rPr>
                <w:rFonts w:cs="Arial"/>
              </w:rPr>
              <w:t>llow</w:t>
            </w:r>
            <w:r>
              <w:rPr>
                <w:rFonts w:cs="Arial"/>
              </w:rPr>
              <w:t>s</w:t>
            </w:r>
            <w:r w:rsidRPr="0074089A">
              <w:rPr>
                <w:rFonts w:cs="Arial"/>
              </w:rPr>
              <w:t xml:space="preserve"> </w:t>
            </w:r>
            <w:r w:rsidR="008C379A">
              <w:rPr>
                <w:rFonts w:cs="Arial"/>
              </w:rPr>
              <w:t>web-portal</w:t>
            </w:r>
            <w:r>
              <w:rPr>
                <w:rFonts w:cs="Arial"/>
              </w:rPr>
              <w:t xml:space="preserve"> user</w:t>
            </w:r>
            <w:r w:rsidR="00CC3E22">
              <w:rPr>
                <w:rFonts w:cs="Arial"/>
              </w:rPr>
              <w:t>s</w:t>
            </w:r>
            <w:r w:rsidRPr="0074089A">
              <w:rPr>
                <w:rFonts w:cs="Arial"/>
              </w:rPr>
              <w:t xml:space="preserve"> to partially complete the </w:t>
            </w:r>
            <w:r>
              <w:rPr>
                <w:rFonts w:cs="Arial"/>
              </w:rPr>
              <w:t xml:space="preserve">health risk assessment </w:t>
            </w:r>
            <w:r w:rsidRPr="0074089A">
              <w:rPr>
                <w:rFonts w:cs="Arial"/>
              </w:rPr>
              <w:t>and return to it with all previ</w:t>
            </w:r>
            <w:r>
              <w:rPr>
                <w:rFonts w:cs="Arial"/>
              </w:rPr>
              <w:t>ously entered information saved</w:t>
            </w:r>
            <w:r w:rsidR="00ED690F">
              <w:rPr>
                <w:rFonts w:cs="Arial"/>
              </w:rPr>
              <w:t>.</w:t>
            </w:r>
          </w:p>
        </w:tc>
      </w:tr>
      <w:tr w:rsidR="00ED690F" w14:paraId="4B1E4353" w14:textId="77777777" w:rsidTr="0059128F">
        <w:tc>
          <w:tcPr>
            <w:tcW w:w="535" w:type="dxa"/>
          </w:tcPr>
          <w:p w14:paraId="14A8B18C" w14:textId="77777777" w:rsidR="00ED690F" w:rsidRDefault="00ED690F" w:rsidP="00F01E1A">
            <w:pPr>
              <w:pStyle w:val="ListParagraph"/>
              <w:numPr>
                <w:ilvl w:val="0"/>
                <w:numId w:val="18"/>
              </w:numPr>
            </w:pPr>
          </w:p>
        </w:tc>
        <w:tc>
          <w:tcPr>
            <w:tcW w:w="8815" w:type="dxa"/>
            <w:vAlign w:val="bottom"/>
          </w:tcPr>
          <w:p w14:paraId="26B00E38" w14:textId="0B968CA5" w:rsidR="00ED690F" w:rsidRDefault="00ED690F" w:rsidP="00CC3E22">
            <w:pPr>
              <w:rPr>
                <w:rFonts w:ascii="Arial" w:hAnsi="Arial" w:cs="Arial"/>
              </w:rPr>
            </w:pPr>
            <w:r>
              <w:rPr>
                <w:rFonts w:ascii="Arial" w:hAnsi="Arial" w:cs="Arial"/>
              </w:rPr>
              <w:t xml:space="preserve">At the request of the ETF Program Manager, the </w:t>
            </w:r>
            <w:r w:rsidR="00A146AC">
              <w:rPr>
                <w:rFonts w:ascii="Arial" w:hAnsi="Arial" w:cs="Arial"/>
              </w:rPr>
              <w:t>Contractor</w:t>
            </w:r>
            <w:r>
              <w:rPr>
                <w:rFonts w:ascii="Arial" w:hAnsi="Arial" w:cs="Arial"/>
              </w:rPr>
              <w:t xml:space="preserve"> must provide a printable version of the health risk assessment content translated in</w:t>
            </w:r>
            <w:r w:rsidR="00CC3E22">
              <w:rPr>
                <w:rFonts w:ascii="Arial" w:hAnsi="Arial" w:cs="Arial"/>
              </w:rPr>
              <w:t xml:space="preserve"> </w:t>
            </w:r>
            <w:r>
              <w:rPr>
                <w:rFonts w:ascii="Arial" w:hAnsi="Arial" w:cs="Arial"/>
              </w:rPr>
              <w:t xml:space="preserve">to up to two (2) languages </w:t>
            </w:r>
            <w:r w:rsidR="00CC3E22">
              <w:rPr>
                <w:rFonts w:ascii="Arial" w:hAnsi="Arial" w:cs="Arial"/>
              </w:rPr>
              <w:t xml:space="preserve">that will be </w:t>
            </w:r>
            <w:r>
              <w:rPr>
                <w:rFonts w:ascii="Arial" w:hAnsi="Arial" w:cs="Arial"/>
              </w:rPr>
              <w:t>specified by ETF.</w:t>
            </w:r>
          </w:p>
        </w:tc>
      </w:tr>
      <w:tr w:rsidR="007D2C86" w14:paraId="72417A1E" w14:textId="77777777" w:rsidTr="0059128F">
        <w:tc>
          <w:tcPr>
            <w:tcW w:w="535" w:type="dxa"/>
          </w:tcPr>
          <w:p w14:paraId="01D1E928" w14:textId="57EF7F46" w:rsidR="007D2C86" w:rsidRDefault="007D2C86" w:rsidP="00F01E1A">
            <w:pPr>
              <w:pStyle w:val="ListParagraph"/>
              <w:numPr>
                <w:ilvl w:val="0"/>
                <w:numId w:val="18"/>
              </w:numPr>
            </w:pPr>
          </w:p>
        </w:tc>
        <w:tc>
          <w:tcPr>
            <w:tcW w:w="8815" w:type="dxa"/>
            <w:vAlign w:val="bottom"/>
          </w:tcPr>
          <w:p w14:paraId="7B15C455" w14:textId="299E4DFD" w:rsidR="00A771DC" w:rsidRDefault="006C572B" w:rsidP="00A771DC">
            <w:pPr>
              <w:rPr>
                <w:rFonts w:ascii="Arial" w:hAnsi="Arial" w:cs="Arial"/>
              </w:rPr>
            </w:pPr>
            <w:r>
              <w:rPr>
                <w:rFonts w:ascii="Arial" w:hAnsi="Arial" w:cs="Arial"/>
              </w:rPr>
              <w:t xml:space="preserve">The </w:t>
            </w:r>
            <w:r w:rsidR="00A146AC">
              <w:rPr>
                <w:rFonts w:ascii="Arial" w:hAnsi="Arial" w:cs="Arial"/>
              </w:rPr>
              <w:t>Contractor</w:t>
            </w:r>
            <w:r>
              <w:rPr>
                <w:rFonts w:ascii="Arial" w:hAnsi="Arial" w:cs="Arial"/>
              </w:rPr>
              <w:t xml:space="preserve"> </w:t>
            </w:r>
            <w:r w:rsidR="00A771DC">
              <w:rPr>
                <w:rFonts w:ascii="Arial" w:hAnsi="Arial" w:cs="Arial"/>
              </w:rPr>
              <w:t>must provide the</w:t>
            </w:r>
            <w:r w:rsidR="007471E2">
              <w:rPr>
                <w:rFonts w:ascii="Arial" w:hAnsi="Arial" w:cs="Arial"/>
              </w:rPr>
              <w:t xml:space="preserve"> proposed</w:t>
            </w:r>
            <w:r w:rsidR="00A771DC">
              <w:rPr>
                <w:rFonts w:ascii="Arial" w:hAnsi="Arial" w:cs="Arial"/>
              </w:rPr>
              <w:t xml:space="preserve"> content of the health risk assessment to the ETF Program Manager at least sixty (60) Days prior to the program year start date </w:t>
            </w:r>
            <w:r w:rsidR="00A771DC" w:rsidRPr="00A771DC">
              <w:rPr>
                <w:rFonts w:ascii="Arial" w:hAnsi="Arial" w:cs="Arial"/>
              </w:rPr>
              <w:t xml:space="preserve">and have all updates required by ETF </w:t>
            </w:r>
            <w:r w:rsidR="00A771DC">
              <w:rPr>
                <w:rFonts w:ascii="Arial" w:hAnsi="Arial" w:cs="Arial"/>
              </w:rPr>
              <w:t xml:space="preserve">completed at least thirty </w:t>
            </w:r>
            <w:r w:rsidR="00A771DC" w:rsidRPr="00A771DC">
              <w:rPr>
                <w:rFonts w:ascii="Arial" w:hAnsi="Arial" w:cs="Arial"/>
              </w:rPr>
              <w:t>(</w:t>
            </w:r>
            <w:r w:rsidR="00A771DC">
              <w:rPr>
                <w:rFonts w:ascii="Arial" w:hAnsi="Arial" w:cs="Arial"/>
              </w:rPr>
              <w:t>3</w:t>
            </w:r>
            <w:r w:rsidR="00A771DC" w:rsidRPr="00A771DC">
              <w:rPr>
                <w:rFonts w:ascii="Arial" w:hAnsi="Arial" w:cs="Arial"/>
              </w:rPr>
              <w:t xml:space="preserve">0) Days prior to the </w:t>
            </w:r>
            <w:r w:rsidR="00A771DC">
              <w:rPr>
                <w:rFonts w:ascii="Arial" w:hAnsi="Arial" w:cs="Arial"/>
              </w:rPr>
              <w:t>program start date</w:t>
            </w:r>
            <w:r w:rsidR="00A771DC" w:rsidRPr="00A771DC">
              <w:rPr>
                <w:rFonts w:ascii="Arial" w:hAnsi="Arial" w:cs="Arial"/>
              </w:rPr>
              <w:t>.</w:t>
            </w:r>
          </w:p>
          <w:p w14:paraId="6CEA440C" w14:textId="3922B7A8" w:rsidR="0074089A" w:rsidRPr="0074089A" w:rsidRDefault="00E647EF" w:rsidP="00A771DC">
            <w:pPr>
              <w:rPr>
                <w:rFonts w:ascii="Arial" w:hAnsi="Arial" w:cs="Arial"/>
              </w:rPr>
            </w:pPr>
            <w:r>
              <w:rPr>
                <w:rFonts w:ascii="Arial" w:hAnsi="Arial" w:cs="Arial"/>
              </w:rPr>
              <w:t xml:space="preserve">The </w:t>
            </w:r>
            <w:r w:rsidR="00A146AC">
              <w:rPr>
                <w:rFonts w:ascii="Arial" w:hAnsi="Arial" w:cs="Arial"/>
              </w:rPr>
              <w:t>Contractor</w:t>
            </w:r>
            <w:r>
              <w:rPr>
                <w:rFonts w:ascii="Arial" w:hAnsi="Arial" w:cs="Arial"/>
              </w:rPr>
              <w:t xml:space="preserve"> will not modify the </w:t>
            </w:r>
            <w:r w:rsidR="008D6062">
              <w:rPr>
                <w:rFonts w:ascii="Arial" w:hAnsi="Arial" w:cs="Arial"/>
              </w:rPr>
              <w:t>health risk assessment</w:t>
            </w:r>
            <w:r>
              <w:rPr>
                <w:rFonts w:ascii="Arial" w:hAnsi="Arial" w:cs="Arial"/>
              </w:rPr>
              <w:t xml:space="preserve"> content without prior notice to and approval from </w:t>
            </w:r>
            <w:r w:rsidR="00A771DC">
              <w:rPr>
                <w:rFonts w:ascii="Arial" w:hAnsi="Arial" w:cs="Arial"/>
              </w:rPr>
              <w:t>the ETF Program Manager</w:t>
            </w:r>
            <w:r w:rsidR="006C572B">
              <w:rPr>
                <w:rFonts w:ascii="Arial" w:hAnsi="Arial" w:cs="Arial"/>
              </w:rPr>
              <w:t>.</w:t>
            </w:r>
            <w:r w:rsidR="00A771DC">
              <w:rPr>
                <w:rFonts w:ascii="Arial" w:hAnsi="Arial" w:cs="Arial"/>
              </w:rPr>
              <w:t xml:space="preserve"> </w:t>
            </w:r>
          </w:p>
        </w:tc>
      </w:tr>
      <w:tr w:rsidR="007D2C86" w14:paraId="17C81CAD" w14:textId="77777777" w:rsidTr="001A49D5">
        <w:trPr>
          <w:trHeight w:val="2367"/>
        </w:trPr>
        <w:tc>
          <w:tcPr>
            <w:tcW w:w="535" w:type="dxa"/>
          </w:tcPr>
          <w:p w14:paraId="454A72AB" w14:textId="77777777" w:rsidR="007D2C86" w:rsidRDefault="007D2C86" w:rsidP="00F01E1A">
            <w:pPr>
              <w:pStyle w:val="ListParagraph"/>
              <w:numPr>
                <w:ilvl w:val="0"/>
                <w:numId w:val="18"/>
              </w:numPr>
            </w:pPr>
          </w:p>
        </w:tc>
        <w:tc>
          <w:tcPr>
            <w:tcW w:w="8815" w:type="dxa"/>
            <w:vAlign w:val="bottom"/>
          </w:tcPr>
          <w:p w14:paraId="5C268389" w14:textId="240B1817" w:rsidR="00E9095A" w:rsidRDefault="007D2C86" w:rsidP="00E9095A">
            <w:pPr>
              <w:rPr>
                <w:rFonts w:ascii="Arial" w:hAnsi="Arial" w:cs="Arial"/>
              </w:rPr>
            </w:pPr>
            <w:r w:rsidRPr="006518F1">
              <w:rPr>
                <w:rFonts w:ascii="Arial" w:hAnsi="Arial" w:cs="Arial"/>
              </w:rPr>
              <w:t xml:space="preserve">Upon completion of the </w:t>
            </w:r>
            <w:r w:rsidR="008D6062">
              <w:rPr>
                <w:rFonts w:ascii="Arial" w:hAnsi="Arial" w:cs="Arial"/>
              </w:rPr>
              <w:t>health risk assessment</w:t>
            </w:r>
            <w:r w:rsidRPr="006518F1">
              <w:rPr>
                <w:rFonts w:ascii="Arial" w:hAnsi="Arial" w:cs="Arial"/>
              </w:rPr>
              <w:t xml:space="preserve">, </w:t>
            </w:r>
            <w:r w:rsidR="00E46012">
              <w:rPr>
                <w:rFonts w:ascii="Arial" w:hAnsi="Arial" w:cs="Arial"/>
              </w:rPr>
              <w:t xml:space="preserve">the </w:t>
            </w:r>
            <w:r w:rsidRPr="006518F1">
              <w:rPr>
                <w:rFonts w:ascii="Arial" w:hAnsi="Arial" w:cs="Arial"/>
              </w:rPr>
              <w:t xml:space="preserve">Participant must be presented with a </w:t>
            </w:r>
            <w:r w:rsidR="0092212A">
              <w:rPr>
                <w:rFonts w:ascii="Arial" w:hAnsi="Arial" w:cs="Arial"/>
              </w:rPr>
              <w:t xml:space="preserve">score </w:t>
            </w:r>
            <w:r w:rsidRPr="006518F1">
              <w:rPr>
                <w:rFonts w:ascii="Arial" w:hAnsi="Arial" w:cs="Arial"/>
              </w:rPr>
              <w:t>of their health status and risk factors along with recommendation</w:t>
            </w:r>
            <w:r w:rsidR="00E647EF">
              <w:rPr>
                <w:rFonts w:ascii="Arial" w:hAnsi="Arial" w:cs="Arial"/>
              </w:rPr>
              <w:t>s</w:t>
            </w:r>
            <w:r w:rsidR="002A60CE">
              <w:rPr>
                <w:rFonts w:ascii="Arial" w:hAnsi="Arial" w:cs="Arial"/>
              </w:rPr>
              <w:t xml:space="preserve"> on</w:t>
            </w:r>
            <w:r w:rsidR="00E9095A">
              <w:rPr>
                <w:rFonts w:ascii="Arial" w:hAnsi="Arial" w:cs="Arial"/>
              </w:rPr>
              <w:t>:</w:t>
            </w:r>
          </w:p>
          <w:p w14:paraId="68011AAF" w14:textId="57D06CA4" w:rsidR="00675870" w:rsidRDefault="002A60CE" w:rsidP="00F01E1A">
            <w:pPr>
              <w:pStyle w:val="ListParagraph"/>
              <w:numPr>
                <w:ilvl w:val="0"/>
                <w:numId w:val="66"/>
              </w:numPr>
              <w:tabs>
                <w:tab w:val="clear" w:pos="540"/>
              </w:tabs>
              <w:rPr>
                <w:rFonts w:cs="Arial"/>
              </w:rPr>
            </w:pPr>
            <w:r w:rsidRPr="007F5213">
              <w:rPr>
                <w:rFonts w:cs="Arial"/>
              </w:rPr>
              <w:t>H</w:t>
            </w:r>
            <w:r w:rsidR="007F5213" w:rsidRPr="007F5213">
              <w:rPr>
                <w:rFonts w:cs="Arial"/>
                <w:caps w:val="0"/>
              </w:rPr>
              <w:t>ealth goals related to each risk factor</w:t>
            </w:r>
            <w:r w:rsidRPr="007F5213">
              <w:rPr>
                <w:rFonts w:cs="Arial"/>
              </w:rPr>
              <w:t>;</w:t>
            </w:r>
            <w:r w:rsidR="007D2C86" w:rsidRPr="007F5213">
              <w:rPr>
                <w:rFonts w:cs="Arial"/>
              </w:rPr>
              <w:t xml:space="preserve"> </w:t>
            </w:r>
            <w:r w:rsidRPr="007F5213">
              <w:rPr>
                <w:rFonts w:cs="Arial"/>
              </w:rPr>
              <w:t xml:space="preserve"> </w:t>
            </w:r>
          </w:p>
          <w:p w14:paraId="2D68EB63" w14:textId="428A7BF5" w:rsidR="00BB01AE" w:rsidRPr="001A49D5" w:rsidRDefault="00BB01AE" w:rsidP="00F01E1A">
            <w:pPr>
              <w:pStyle w:val="ListParagraph"/>
              <w:numPr>
                <w:ilvl w:val="0"/>
                <w:numId w:val="66"/>
              </w:numPr>
              <w:tabs>
                <w:tab w:val="clear" w:pos="540"/>
              </w:tabs>
              <w:rPr>
                <w:rFonts w:cs="Arial"/>
              </w:rPr>
            </w:pPr>
            <w:r>
              <w:rPr>
                <w:rFonts w:cs="Arial"/>
              </w:rPr>
              <w:t>S</w:t>
            </w:r>
            <w:r w:rsidRPr="007F5213">
              <w:rPr>
                <w:rFonts w:cs="Arial"/>
                <w:caps w:val="0"/>
              </w:rPr>
              <w:t>trategies to reduce each risk factor; an</w:t>
            </w:r>
            <w:r>
              <w:rPr>
                <w:rFonts w:cs="Arial"/>
                <w:caps w:val="0"/>
              </w:rPr>
              <w:t>d</w:t>
            </w:r>
          </w:p>
          <w:p w14:paraId="541DD6D9" w14:textId="6A4D9B74" w:rsidR="002A60CE" w:rsidRPr="001A49D5" w:rsidRDefault="001A49D5" w:rsidP="00CB52E7">
            <w:pPr>
              <w:pStyle w:val="ListParagraph"/>
              <w:numPr>
                <w:ilvl w:val="0"/>
                <w:numId w:val="66"/>
              </w:numPr>
              <w:tabs>
                <w:tab w:val="clear" w:pos="540"/>
              </w:tabs>
              <w:rPr>
                <w:rFonts w:cs="Arial"/>
              </w:rPr>
            </w:pPr>
            <w:r>
              <w:rPr>
                <w:rFonts w:cs="Arial"/>
              </w:rPr>
              <w:t>R</w:t>
            </w:r>
            <w:r w:rsidR="00BB01AE" w:rsidRPr="007F5213">
              <w:rPr>
                <w:rFonts w:cs="Arial"/>
                <w:caps w:val="0"/>
              </w:rPr>
              <w:t xml:space="preserve">esources available to help </w:t>
            </w:r>
            <w:r w:rsidR="00BB01AE">
              <w:rPr>
                <w:rFonts w:cs="Arial"/>
                <w:caps w:val="0"/>
              </w:rPr>
              <w:t>the P</w:t>
            </w:r>
            <w:r w:rsidR="00BB01AE" w:rsidRPr="007F5213">
              <w:rPr>
                <w:rFonts w:cs="Arial"/>
                <w:caps w:val="0"/>
              </w:rPr>
              <w:t xml:space="preserve">articipant address risk factors, including </w:t>
            </w:r>
            <w:r w:rsidR="00CB52E7">
              <w:rPr>
                <w:rFonts w:cs="Arial"/>
                <w:caps w:val="0"/>
              </w:rPr>
              <w:t>Contractor’s</w:t>
            </w:r>
            <w:r w:rsidR="00BB01AE" w:rsidRPr="007F5213">
              <w:rPr>
                <w:rFonts w:cs="Arial"/>
                <w:caps w:val="0"/>
              </w:rPr>
              <w:t xml:space="preserve"> health coaching as well as resources available through health plans and community resources generally available to </w:t>
            </w:r>
            <w:r w:rsidR="00BB01AE">
              <w:rPr>
                <w:rFonts w:cs="Arial"/>
                <w:caps w:val="0"/>
              </w:rPr>
              <w:t>W</w:t>
            </w:r>
            <w:r w:rsidR="00BB01AE" w:rsidRPr="007F5213">
              <w:rPr>
                <w:rFonts w:cs="Arial"/>
                <w:caps w:val="0"/>
              </w:rPr>
              <w:t>isconsin residents.</w:t>
            </w:r>
            <w:r w:rsidDel="001A49D5">
              <w:rPr>
                <w:rFonts w:cs="Arial"/>
              </w:rPr>
              <w:t xml:space="preserve"> </w:t>
            </w:r>
          </w:p>
        </w:tc>
      </w:tr>
      <w:tr w:rsidR="00ED690F" w14:paraId="2A10C477" w14:textId="77777777" w:rsidTr="0059128F">
        <w:tc>
          <w:tcPr>
            <w:tcW w:w="535" w:type="dxa"/>
          </w:tcPr>
          <w:p w14:paraId="0344E851" w14:textId="16ED2098" w:rsidR="00ED690F" w:rsidRDefault="00ED690F" w:rsidP="00F01E1A">
            <w:pPr>
              <w:pStyle w:val="ListParagraph"/>
              <w:numPr>
                <w:ilvl w:val="0"/>
                <w:numId w:val="18"/>
              </w:numPr>
            </w:pPr>
          </w:p>
        </w:tc>
        <w:tc>
          <w:tcPr>
            <w:tcW w:w="8815" w:type="dxa"/>
            <w:vAlign w:val="bottom"/>
          </w:tcPr>
          <w:p w14:paraId="0591164A" w14:textId="3DA0D68C" w:rsidR="00ED690F" w:rsidRPr="006518F1" w:rsidRDefault="00ED690F" w:rsidP="0092212A">
            <w:pPr>
              <w:rPr>
                <w:rFonts w:ascii="Arial" w:hAnsi="Arial" w:cs="Arial"/>
              </w:rPr>
            </w:pPr>
            <w:r w:rsidRPr="00397A29">
              <w:rPr>
                <w:rFonts w:ascii="Arial" w:hAnsi="Arial" w:cs="Arial"/>
              </w:rPr>
              <w:t xml:space="preserve">The score </w:t>
            </w:r>
            <w:r>
              <w:rPr>
                <w:rFonts w:ascii="Arial" w:hAnsi="Arial" w:cs="Arial"/>
              </w:rPr>
              <w:t xml:space="preserve">must be presented </w:t>
            </w:r>
            <w:r w:rsidRPr="00397A29">
              <w:rPr>
                <w:rFonts w:ascii="Arial" w:hAnsi="Arial" w:cs="Arial"/>
              </w:rPr>
              <w:t xml:space="preserve">to the Participant </w:t>
            </w:r>
            <w:r>
              <w:rPr>
                <w:rFonts w:ascii="Arial" w:hAnsi="Arial" w:cs="Arial"/>
              </w:rPr>
              <w:t>in an easy to understand summary and utilize the score from the prior year</w:t>
            </w:r>
            <w:r w:rsidR="0080690C">
              <w:rPr>
                <w:rFonts w:ascii="Arial" w:hAnsi="Arial" w:cs="Arial"/>
              </w:rPr>
              <w:t>, if one exists,</w:t>
            </w:r>
            <w:r>
              <w:rPr>
                <w:rFonts w:ascii="Arial" w:hAnsi="Arial" w:cs="Arial"/>
              </w:rPr>
              <w:t xml:space="preserve"> to display changes in health status or risk.</w:t>
            </w:r>
          </w:p>
        </w:tc>
      </w:tr>
    </w:tbl>
    <w:p w14:paraId="75FE7300" w14:textId="585184E8" w:rsidR="003A098F" w:rsidRDefault="003A098F" w:rsidP="00644C74">
      <w:pPr>
        <w:pStyle w:val="Heading2"/>
        <w:ind w:hanging="1926"/>
      </w:pPr>
      <w:r>
        <w:lastRenderedPageBreak/>
        <w:t xml:space="preserve">Program Website and </w:t>
      </w:r>
      <w:r w:rsidR="002A60CE">
        <w:t>Web-</w:t>
      </w:r>
      <w:r>
        <w:t>Portal</w:t>
      </w:r>
    </w:p>
    <w:p w14:paraId="75BD367B" w14:textId="37886967" w:rsidR="002A60CE" w:rsidRPr="002A60CE" w:rsidRDefault="002A60CE" w:rsidP="00857631">
      <w:pPr>
        <w:pStyle w:val="LRWLBodyText"/>
      </w:pPr>
      <w:r>
        <w:t xml:space="preserve">The </w:t>
      </w:r>
      <w:r w:rsidR="00A146AC">
        <w:t>Contractor</w:t>
      </w:r>
      <w:r w:rsidR="007F5213">
        <w:t xml:space="preserve"> will provide a dedicated </w:t>
      </w:r>
      <w:r>
        <w:t xml:space="preserve">website </w:t>
      </w:r>
      <w:r w:rsidR="007F5213">
        <w:t xml:space="preserve">and a web-portal </w:t>
      </w:r>
      <w:r w:rsidR="00857631">
        <w:t>as part of the</w:t>
      </w:r>
      <w:r w:rsidR="007F5213">
        <w:t xml:space="preserve"> Contract. The website will provide basic program information. The web-portal will be used to present and track Participant level information on participation in </w:t>
      </w:r>
      <w:r w:rsidR="00857631">
        <w:t xml:space="preserve">the </w:t>
      </w:r>
      <w:r w:rsidR="007F5213">
        <w:t>wellness and disease management</w:t>
      </w:r>
      <w:r w:rsidR="00C1275E">
        <w:t xml:space="preserve"> programs and provide health resources and education to </w:t>
      </w:r>
      <w:r w:rsidR="00E46012">
        <w:t>all Members</w:t>
      </w:r>
      <w:r w:rsidR="00C1275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3A098F" w14:paraId="2991F970" w14:textId="77777777" w:rsidTr="00410419">
        <w:tc>
          <w:tcPr>
            <w:tcW w:w="535" w:type="dxa"/>
          </w:tcPr>
          <w:p w14:paraId="3D8EB8F7" w14:textId="77777777" w:rsidR="003A098F" w:rsidRDefault="003A098F" w:rsidP="00F01E1A">
            <w:pPr>
              <w:pStyle w:val="ListParagraph"/>
              <w:numPr>
                <w:ilvl w:val="0"/>
                <w:numId w:val="23"/>
              </w:numPr>
            </w:pPr>
          </w:p>
        </w:tc>
        <w:tc>
          <w:tcPr>
            <w:tcW w:w="8815" w:type="dxa"/>
          </w:tcPr>
          <w:p w14:paraId="275AC036" w14:textId="07407228" w:rsidR="003A098F" w:rsidRPr="00C939AD" w:rsidRDefault="003A098F" w:rsidP="00410419">
            <w:pPr>
              <w:pStyle w:val="LRWLBodyText"/>
              <w:rPr>
                <w:rFonts w:cs="Arial"/>
                <w:color w:val="000000"/>
              </w:rPr>
            </w:pPr>
            <w:r w:rsidRPr="00F02630">
              <w:rPr>
                <w:rFonts w:cs="Arial"/>
              </w:rPr>
              <w:t xml:space="preserve">The </w:t>
            </w:r>
            <w:r w:rsidR="00A146AC">
              <w:rPr>
                <w:rFonts w:cs="Arial"/>
              </w:rPr>
              <w:t>Contractor</w:t>
            </w:r>
            <w:r w:rsidRPr="00F02630">
              <w:rPr>
                <w:rFonts w:cs="Arial"/>
              </w:rPr>
              <w:t xml:space="preserve"> must </w:t>
            </w:r>
            <w:r>
              <w:rPr>
                <w:rFonts w:cs="Arial"/>
              </w:rPr>
              <w:t xml:space="preserve">host and maintain </w:t>
            </w:r>
            <w:r w:rsidR="0005128D">
              <w:rPr>
                <w:rFonts w:cs="Arial"/>
              </w:rPr>
              <w:t xml:space="preserve">a </w:t>
            </w:r>
            <w:r>
              <w:rPr>
                <w:rFonts w:cs="Arial"/>
              </w:rPr>
              <w:t xml:space="preserve">customized </w:t>
            </w:r>
            <w:r w:rsidRPr="00F02630">
              <w:rPr>
                <w:rFonts w:cs="Arial"/>
              </w:rPr>
              <w:t xml:space="preserve">website </w:t>
            </w:r>
            <w:r>
              <w:rPr>
                <w:rFonts w:cs="Arial"/>
              </w:rPr>
              <w:t xml:space="preserve">and </w:t>
            </w:r>
            <w:r w:rsidR="008C379A">
              <w:rPr>
                <w:rFonts w:cs="Arial"/>
              </w:rPr>
              <w:t>web-portal</w:t>
            </w:r>
            <w:r>
              <w:rPr>
                <w:rFonts w:cs="Arial"/>
              </w:rPr>
              <w:t xml:space="preserve"> </w:t>
            </w:r>
            <w:r w:rsidRPr="00F02630">
              <w:rPr>
                <w:rFonts w:cs="Arial"/>
              </w:rPr>
              <w:t xml:space="preserve">dedicated to </w:t>
            </w:r>
            <w:r w:rsidR="00E46012">
              <w:rPr>
                <w:rFonts w:cs="Arial"/>
              </w:rPr>
              <w:t xml:space="preserve">Members </w:t>
            </w:r>
            <w:r w:rsidR="007A1457">
              <w:rPr>
                <w:rFonts w:cs="Arial"/>
              </w:rPr>
              <w:t xml:space="preserve">of </w:t>
            </w:r>
            <w:r w:rsidR="00D75670" w:rsidRPr="00435511">
              <w:rPr>
                <w:rFonts w:cs="Arial"/>
              </w:rPr>
              <w:t xml:space="preserve">the </w:t>
            </w:r>
            <w:r w:rsidR="00D75670">
              <w:rPr>
                <w:rFonts w:cs="Arial"/>
              </w:rPr>
              <w:t xml:space="preserve">GHIP/WPE programs </w:t>
            </w:r>
            <w:r>
              <w:rPr>
                <w:rFonts w:cs="Arial"/>
              </w:rPr>
              <w:t xml:space="preserve">that will be able to </w:t>
            </w:r>
            <w:r w:rsidRPr="00C939AD">
              <w:rPr>
                <w:rFonts w:cs="Arial"/>
                <w:color w:val="000000"/>
              </w:rPr>
              <w:t xml:space="preserve">meet the </w:t>
            </w:r>
            <w:r w:rsidR="00DB7BAB">
              <w:rPr>
                <w:rFonts w:cs="Arial"/>
                <w:color w:val="000000"/>
              </w:rPr>
              <w:t xml:space="preserve">wellness and disease management </w:t>
            </w:r>
            <w:r w:rsidRPr="00C939AD">
              <w:rPr>
                <w:rFonts w:cs="Arial"/>
                <w:color w:val="000000"/>
              </w:rPr>
              <w:t xml:space="preserve">capacity </w:t>
            </w:r>
            <w:r w:rsidR="00DB7BAB">
              <w:rPr>
                <w:rFonts w:cs="Arial"/>
                <w:color w:val="000000"/>
              </w:rPr>
              <w:t xml:space="preserve">needs </w:t>
            </w:r>
            <w:r w:rsidRPr="00C939AD">
              <w:rPr>
                <w:rFonts w:cs="Arial"/>
                <w:color w:val="000000"/>
              </w:rPr>
              <w:t xml:space="preserve">of current and future </w:t>
            </w:r>
            <w:r w:rsidR="007A1457">
              <w:rPr>
                <w:rFonts w:cs="Arial"/>
                <w:color w:val="000000"/>
              </w:rPr>
              <w:t>participation rates</w:t>
            </w:r>
            <w:r w:rsidR="00DB7BAB">
              <w:rPr>
                <w:rFonts w:cs="Arial"/>
                <w:color w:val="000000"/>
              </w:rPr>
              <w:t>.</w:t>
            </w:r>
          </w:p>
          <w:p w14:paraId="5F8CA158" w14:textId="7FCF47E5" w:rsidR="003A098F" w:rsidRPr="005E56D8" w:rsidRDefault="003A098F" w:rsidP="00F01E1A">
            <w:pPr>
              <w:pStyle w:val="LRWLBodyText"/>
              <w:numPr>
                <w:ilvl w:val="0"/>
                <w:numId w:val="37"/>
              </w:numPr>
            </w:pPr>
            <w:r w:rsidRPr="00C939AD">
              <w:rPr>
                <w:rFonts w:cs="Arial"/>
                <w:color w:val="000000"/>
              </w:rPr>
              <w:t>The design of the website</w:t>
            </w:r>
            <w:r w:rsidR="0005128D">
              <w:rPr>
                <w:rFonts w:cs="Arial"/>
                <w:color w:val="000000"/>
              </w:rPr>
              <w:t xml:space="preserve"> and </w:t>
            </w:r>
            <w:r w:rsidR="002A60CE">
              <w:rPr>
                <w:rFonts w:cs="Arial"/>
                <w:color w:val="000000"/>
              </w:rPr>
              <w:t>web-</w:t>
            </w:r>
            <w:r w:rsidRPr="00C939AD">
              <w:rPr>
                <w:rFonts w:cs="Arial"/>
                <w:color w:val="000000"/>
              </w:rPr>
              <w:t xml:space="preserve">portal must be approved by </w:t>
            </w:r>
            <w:r w:rsidR="00D75231">
              <w:rPr>
                <w:rFonts w:cs="Arial"/>
                <w:color w:val="000000"/>
              </w:rPr>
              <w:t xml:space="preserve">the </w:t>
            </w:r>
            <w:r w:rsidRPr="00C939AD">
              <w:rPr>
                <w:rFonts w:cs="Arial"/>
                <w:color w:val="000000"/>
              </w:rPr>
              <w:t>ETF</w:t>
            </w:r>
            <w:r w:rsidR="00D75231">
              <w:rPr>
                <w:rFonts w:cs="Arial"/>
                <w:color w:val="000000"/>
              </w:rPr>
              <w:t xml:space="preserve"> Program Manager</w:t>
            </w:r>
            <w:r w:rsidRPr="00C939AD">
              <w:rPr>
                <w:rFonts w:cs="Arial"/>
                <w:color w:val="000000"/>
              </w:rPr>
              <w:t>.</w:t>
            </w:r>
          </w:p>
          <w:p w14:paraId="47F6D210" w14:textId="77777777" w:rsidR="00AF6860" w:rsidRPr="00750568" w:rsidRDefault="00AF6860" w:rsidP="00F01E1A">
            <w:pPr>
              <w:pStyle w:val="LRWLBodyText"/>
              <w:numPr>
                <w:ilvl w:val="0"/>
                <w:numId w:val="37"/>
              </w:numPr>
            </w:pPr>
            <w:r w:rsidRPr="00750568">
              <w:t>The web-portal must be available via the popular browsers available in the market which include Internet Explorer, Mozilla Firefox, Chrome and Safari.</w:t>
            </w:r>
          </w:p>
          <w:p w14:paraId="62E57B90" w14:textId="77777777" w:rsidR="00AF6860" w:rsidRPr="00750568" w:rsidRDefault="00AF6860" w:rsidP="00F01E1A">
            <w:pPr>
              <w:pStyle w:val="LRWLBodyText"/>
              <w:numPr>
                <w:ilvl w:val="0"/>
                <w:numId w:val="37"/>
              </w:numPr>
            </w:pPr>
            <w:r w:rsidRPr="00750568">
              <w:t>The web-portal must be simple, intuitive and easy to use and navigate.</w:t>
            </w:r>
          </w:p>
          <w:p w14:paraId="18C235A8" w14:textId="77777777" w:rsidR="00AF6860" w:rsidRPr="00750568" w:rsidRDefault="00AF6860" w:rsidP="00F01E1A">
            <w:pPr>
              <w:pStyle w:val="LRWLBodyText"/>
              <w:numPr>
                <w:ilvl w:val="0"/>
                <w:numId w:val="37"/>
              </w:numPr>
            </w:pPr>
            <w:r w:rsidRPr="00750568">
              <w:t>The web-portal must be able to render effectively on any form factor for mobile devices which include smartphones, tablets.</w:t>
            </w:r>
          </w:p>
          <w:p w14:paraId="0BB98554" w14:textId="56DAA3A3" w:rsidR="00B05C46" w:rsidRPr="00206C44" w:rsidRDefault="0005128D" w:rsidP="00F01E1A">
            <w:pPr>
              <w:pStyle w:val="LRWLBodyText"/>
              <w:numPr>
                <w:ilvl w:val="0"/>
                <w:numId w:val="37"/>
              </w:numPr>
            </w:pPr>
            <w:r>
              <w:rPr>
                <w:rFonts w:cs="Arial"/>
              </w:rPr>
              <w:t>The w</w:t>
            </w:r>
            <w:r w:rsidR="003A098F" w:rsidRPr="00247A48">
              <w:rPr>
                <w:rFonts w:cs="Arial"/>
              </w:rPr>
              <w:t xml:space="preserve">ebsite and </w:t>
            </w:r>
            <w:r w:rsidR="002A60CE">
              <w:rPr>
                <w:rFonts w:cs="Arial"/>
              </w:rPr>
              <w:t>web-</w:t>
            </w:r>
            <w:r w:rsidR="003A098F" w:rsidRPr="00247A48">
              <w:rPr>
                <w:rFonts w:cs="Arial"/>
              </w:rPr>
              <w:t xml:space="preserve">portal must have mobile capabilities. </w:t>
            </w:r>
            <w:r w:rsidR="00B05C46">
              <w:rPr>
                <w:rFonts w:cs="Arial"/>
              </w:rPr>
              <w:t>At a minimum the</w:t>
            </w:r>
            <w:r>
              <w:rPr>
                <w:rFonts w:cs="Arial"/>
              </w:rPr>
              <w:t xml:space="preserve"> </w:t>
            </w:r>
            <w:r w:rsidR="00B05C46" w:rsidRPr="00B05C46">
              <w:rPr>
                <w:rFonts w:cs="Arial"/>
              </w:rPr>
              <w:t>mobile capabilities</w:t>
            </w:r>
            <w:r w:rsidR="003A098F" w:rsidRPr="00247A48">
              <w:rPr>
                <w:rFonts w:cs="Arial"/>
              </w:rPr>
              <w:t xml:space="preserve"> must</w:t>
            </w:r>
            <w:r w:rsidR="00B05C46">
              <w:rPr>
                <w:rFonts w:cs="Arial"/>
              </w:rPr>
              <w:t>:</w:t>
            </w:r>
          </w:p>
          <w:p w14:paraId="40B8C54B" w14:textId="17702F22" w:rsidR="00B05C46" w:rsidRPr="00206C44" w:rsidRDefault="00B05C46" w:rsidP="00F01E1A">
            <w:pPr>
              <w:pStyle w:val="LRWLBodyText"/>
              <w:numPr>
                <w:ilvl w:val="1"/>
                <w:numId w:val="37"/>
              </w:numPr>
            </w:pPr>
            <w:r>
              <w:rPr>
                <w:rFonts w:cs="Arial"/>
              </w:rPr>
              <w:t>H</w:t>
            </w:r>
            <w:r w:rsidR="003A098F" w:rsidRPr="00247A48">
              <w:rPr>
                <w:rFonts w:cs="Arial"/>
              </w:rPr>
              <w:t xml:space="preserve">ave </w:t>
            </w:r>
            <w:r>
              <w:rPr>
                <w:rFonts w:cs="Arial"/>
              </w:rPr>
              <w:t xml:space="preserve">the </w:t>
            </w:r>
            <w:r w:rsidR="003A098F" w:rsidRPr="00247A48">
              <w:rPr>
                <w:rFonts w:cs="Arial"/>
              </w:rPr>
              <w:t>ability to synchronize with</w:t>
            </w:r>
            <w:r>
              <w:rPr>
                <w:rFonts w:cs="Arial"/>
              </w:rPr>
              <w:t xml:space="preserve"> common</w:t>
            </w:r>
            <w:r w:rsidR="009A6C06">
              <w:rPr>
                <w:rFonts w:cs="Arial"/>
              </w:rPr>
              <w:t>ly</w:t>
            </w:r>
            <w:r>
              <w:rPr>
                <w:rFonts w:cs="Arial"/>
              </w:rPr>
              <w:t xml:space="preserve"> used </w:t>
            </w:r>
            <w:r w:rsidR="003A098F" w:rsidRPr="00247A48">
              <w:rPr>
                <w:rFonts w:cs="Arial"/>
              </w:rPr>
              <w:t>activity trackers</w:t>
            </w:r>
            <w:r>
              <w:rPr>
                <w:rFonts w:cs="Arial"/>
              </w:rPr>
              <w:t xml:space="preserve"> and/</w:t>
            </w:r>
            <w:r w:rsidR="009A6C06">
              <w:rPr>
                <w:rFonts w:cs="Arial"/>
              </w:rPr>
              <w:t xml:space="preserve">or </w:t>
            </w:r>
            <w:r>
              <w:rPr>
                <w:rFonts w:cs="Arial"/>
              </w:rPr>
              <w:t xml:space="preserve">mobile applications, such as </w:t>
            </w:r>
            <w:proofErr w:type="spellStart"/>
            <w:r>
              <w:rPr>
                <w:rFonts w:cs="Arial"/>
              </w:rPr>
              <w:t>FitBit</w:t>
            </w:r>
            <w:proofErr w:type="spellEnd"/>
            <w:r>
              <w:rPr>
                <w:rFonts w:cs="Arial"/>
              </w:rPr>
              <w:t>, Garmin, Jawbone or other activity tracker</w:t>
            </w:r>
            <w:r w:rsidR="00857631">
              <w:rPr>
                <w:rFonts w:cs="Arial"/>
              </w:rPr>
              <w:t>s</w:t>
            </w:r>
            <w:r>
              <w:rPr>
                <w:rFonts w:cs="Arial"/>
              </w:rPr>
              <w:t xml:space="preserve"> or mobile application</w:t>
            </w:r>
            <w:r w:rsidR="00904D13">
              <w:rPr>
                <w:rFonts w:cs="Arial"/>
              </w:rPr>
              <w:t>(s)</w:t>
            </w:r>
            <w:r>
              <w:rPr>
                <w:rFonts w:cs="Arial"/>
              </w:rPr>
              <w:t xml:space="preserve"> specified by ETF</w:t>
            </w:r>
            <w:r w:rsidR="00904D13">
              <w:rPr>
                <w:rFonts w:cs="Arial"/>
              </w:rPr>
              <w:t>;</w:t>
            </w:r>
            <w:r>
              <w:rPr>
                <w:rFonts w:cs="Arial"/>
              </w:rPr>
              <w:t xml:space="preserve"> and</w:t>
            </w:r>
          </w:p>
          <w:p w14:paraId="35FD324D" w14:textId="69F616E8" w:rsidR="002A60CE" w:rsidRPr="00C939AD" w:rsidRDefault="00B05C46" w:rsidP="00F01E1A">
            <w:pPr>
              <w:pStyle w:val="LRWLBodyText"/>
              <w:numPr>
                <w:ilvl w:val="1"/>
                <w:numId w:val="37"/>
              </w:numPr>
            </w:pPr>
            <w:r>
              <w:rPr>
                <w:rFonts w:cs="Arial"/>
              </w:rPr>
              <w:t xml:space="preserve">Allow the </w:t>
            </w:r>
            <w:r w:rsidR="00E46012">
              <w:rPr>
                <w:rFonts w:cs="Arial"/>
              </w:rPr>
              <w:t xml:space="preserve">Member </w:t>
            </w:r>
            <w:r>
              <w:rPr>
                <w:rFonts w:cs="Arial"/>
              </w:rPr>
              <w:t>to access program information, complete the health risk assessment</w:t>
            </w:r>
            <w:r w:rsidR="00857631">
              <w:rPr>
                <w:rFonts w:cs="Arial"/>
              </w:rPr>
              <w:t>,</w:t>
            </w:r>
            <w:r>
              <w:rPr>
                <w:rFonts w:cs="Arial"/>
              </w:rPr>
              <w:t xml:space="preserve"> and schedule a biometric screening appointment </w:t>
            </w:r>
            <w:r w:rsidR="00161628">
              <w:rPr>
                <w:rFonts w:cs="Arial"/>
              </w:rPr>
              <w:t xml:space="preserve">from their </w:t>
            </w:r>
            <w:r>
              <w:rPr>
                <w:rFonts w:cs="Arial"/>
              </w:rPr>
              <w:t xml:space="preserve">mobile </w:t>
            </w:r>
            <w:r w:rsidR="00161628">
              <w:rPr>
                <w:rFonts w:cs="Arial"/>
              </w:rPr>
              <w:t>device</w:t>
            </w:r>
            <w:r>
              <w:rPr>
                <w:rFonts w:cs="Arial"/>
              </w:rPr>
              <w:t>.</w:t>
            </w:r>
          </w:p>
          <w:p w14:paraId="694B2B28" w14:textId="0263FCD4" w:rsidR="00AF6860" w:rsidRPr="00750568" w:rsidRDefault="00AF6860" w:rsidP="00F01E1A">
            <w:pPr>
              <w:pStyle w:val="LRWLBodyText"/>
              <w:numPr>
                <w:ilvl w:val="0"/>
                <w:numId w:val="37"/>
              </w:numPr>
            </w:pPr>
            <w:r w:rsidRPr="00750568">
              <w:t>The website must ensure response time averaging two (2) seconds or better, and never more than three (3) second response time, for all on-line activities. Response time is defined as the amount of time between pressing the RETURN or ENTER key or depressing a mouse button and receiving a data-driven response on the screen, i.e., not just a message or indicator that a response is forthcoming</w:t>
            </w:r>
            <w:r w:rsidR="004B5F57">
              <w:t>.</w:t>
            </w:r>
          </w:p>
          <w:p w14:paraId="03C395DF" w14:textId="77777777" w:rsidR="00AF6860" w:rsidRPr="00750568" w:rsidRDefault="00AF6860" w:rsidP="00F01E1A">
            <w:pPr>
              <w:pStyle w:val="LRWLBodyText"/>
              <w:numPr>
                <w:ilvl w:val="0"/>
                <w:numId w:val="37"/>
              </w:numPr>
            </w:pPr>
            <w:r w:rsidRPr="00750568">
              <w:t xml:space="preserve">The solution must use SSL/TLS for end-to-end encryption for all connections between the user devices and the portal with the use of browsers or smartphone apps.  </w:t>
            </w:r>
          </w:p>
          <w:p w14:paraId="0159348D" w14:textId="77777777" w:rsidR="00AF6860" w:rsidRPr="00750568" w:rsidRDefault="00AF6860" w:rsidP="00F01E1A">
            <w:pPr>
              <w:pStyle w:val="LRWLBodyText"/>
              <w:numPr>
                <w:ilvl w:val="0"/>
                <w:numId w:val="37"/>
              </w:numPr>
            </w:pPr>
            <w:r w:rsidRPr="00750568">
              <w:t xml:space="preserve">The portal must be secured with a minimum of SHA2-256 bit EV certificates to provide the latest in encryption and cryptography. </w:t>
            </w:r>
          </w:p>
          <w:p w14:paraId="5641C2F6" w14:textId="77777777" w:rsidR="00AF6860" w:rsidRPr="00750568" w:rsidRDefault="00AF6860" w:rsidP="00F01E1A">
            <w:pPr>
              <w:pStyle w:val="LRWLBodyText"/>
              <w:numPr>
                <w:ilvl w:val="0"/>
                <w:numId w:val="37"/>
              </w:numPr>
            </w:pPr>
            <w:r w:rsidRPr="00750568">
              <w:t>The portal must disable SSL/TLS negotiations which are using non-secure protocols and weak ciphers.</w:t>
            </w:r>
          </w:p>
          <w:p w14:paraId="33E14AFC" w14:textId="30C4CDA4" w:rsidR="00AF6860" w:rsidRPr="00750568" w:rsidRDefault="00AF6860" w:rsidP="00F01E1A">
            <w:pPr>
              <w:pStyle w:val="LRWLBodyText"/>
              <w:numPr>
                <w:ilvl w:val="0"/>
                <w:numId w:val="37"/>
              </w:numPr>
            </w:pPr>
            <w:r w:rsidRPr="00750568">
              <w:t>The Contractor must periodically provide ETF reports on the current security safeguards enabled for the</w:t>
            </w:r>
            <w:r w:rsidR="006100C4">
              <w:t xml:space="preserve"> website and web-portal</w:t>
            </w:r>
            <w:r w:rsidRPr="00750568">
              <w:t>.</w:t>
            </w:r>
          </w:p>
          <w:p w14:paraId="78B99331" w14:textId="0911EBD1" w:rsidR="00F949AD" w:rsidRPr="00E703D1" w:rsidRDefault="00AB5353" w:rsidP="00F01E1A">
            <w:pPr>
              <w:pStyle w:val="LRWLBodyText"/>
              <w:numPr>
                <w:ilvl w:val="0"/>
                <w:numId w:val="37"/>
              </w:numPr>
            </w:pPr>
            <w:r>
              <w:rPr>
                <w:rFonts w:cs="Arial"/>
              </w:rPr>
              <w:t>After the initial website and web-portal implementation detailed in Section 5.1 D, t</w:t>
            </w:r>
            <w:r w:rsidR="003A098F" w:rsidRPr="00EE64FF">
              <w:rPr>
                <w:rFonts w:cs="Arial"/>
              </w:rPr>
              <w:t xml:space="preserve">he </w:t>
            </w:r>
            <w:r w:rsidR="00A146AC">
              <w:rPr>
                <w:rFonts w:cs="Arial"/>
              </w:rPr>
              <w:t>Contractor</w:t>
            </w:r>
            <w:r w:rsidR="003A098F">
              <w:rPr>
                <w:rFonts w:cs="Arial"/>
              </w:rPr>
              <w:t xml:space="preserve"> must</w:t>
            </w:r>
            <w:r w:rsidR="003A098F" w:rsidRPr="00EE64FF">
              <w:rPr>
                <w:rFonts w:cs="Arial"/>
              </w:rPr>
              <w:t xml:space="preserve"> grant </w:t>
            </w:r>
            <w:r w:rsidR="003A098F">
              <w:rPr>
                <w:rFonts w:cs="Arial"/>
              </w:rPr>
              <w:t>ETF</w:t>
            </w:r>
            <w:r w:rsidR="003A098F" w:rsidRPr="00EE64FF">
              <w:rPr>
                <w:rFonts w:cs="Arial"/>
              </w:rPr>
              <w:t xml:space="preserve"> access to the websit</w:t>
            </w:r>
            <w:r w:rsidR="003A098F">
              <w:rPr>
                <w:rFonts w:cs="Arial"/>
              </w:rPr>
              <w:t xml:space="preserve">e and </w:t>
            </w:r>
            <w:r w:rsidR="008C379A">
              <w:rPr>
                <w:rFonts w:cs="Arial"/>
              </w:rPr>
              <w:t>web-portal</w:t>
            </w:r>
            <w:r w:rsidR="003A098F" w:rsidRPr="00EE64FF">
              <w:rPr>
                <w:rFonts w:cs="Arial"/>
              </w:rPr>
              <w:t xml:space="preserve"> test environment for </w:t>
            </w:r>
            <w:r w:rsidR="003A098F">
              <w:rPr>
                <w:rFonts w:cs="Arial"/>
              </w:rPr>
              <w:t>ETF</w:t>
            </w:r>
            <w:r w:rsidR="003A098F" w:rsidRPr="00EE64FF">
              <w:rPr>
                <w:rFonts w:cs="Arial"/>
              </w:rPr>
              <w:t xml:space="preserve">’s review and approval </w:t>
            </w:r>
            <w:r w:rsidR="00F949AD">
              <w:rPr>
                <w:rFonts w:cs="Arial"/>
              </w:rPr>
              <w:t xml:space="preserve">no less than four (4) weeks prior to </w:t>
            </w:r>
            <w:r w:rsidR="00F949AD" w:rsidRPr="00EE64FF">
              <w:rPr>
                <w:rFonts w:cs="Arial"/>
              </w:rPr>
              <w:t xml:space="preserve">the </w:t>
            </w:r>
            <w:r>
              <w:rPr>
                <w:rFonts w:cs="Arial"/>
              </w:rPr>
              <w:t xml:space="preserve">subsequent </w:t>
            </w:r>
            <w:r w:rsidR="00F949AD">
              <w:rPr>
                <w:rFonts w:cs="Arial"/>
              </w:rPr>
              <w:t xml:space="preserve">annual </w:t>
            </w:r>
            <w:r w:rsidR="00F949AD" w:rsidRPr="00EE64FF">
              <w:rPr>
                <w:rFonts w:cs="Arial"/>
              </w:rPr>
              <w:t xml:space="preserve">launch </w:t>
            </w:r>
            <w:r w:rsidR="00F949AD">
              <w:rPr>
                <w:rFonts w:cs="Arial"/>
              </w:rPr>
              <w:t xml:space="preserve">dates for each, and </w:t>
            </w:r>
            <w:r w:rsidR="00F44674">
              <w:rPr>
                <w:rFonts w:cs="Arial"/>
              </w:rPr>
              <w:t xml:space="preserve">for </w:t>
            </w:r>
            <w:r w:rsidR="00F949AD">
              <w:rPr>
                <w:rFonts w:cs="Arial"/>
              </w:rPr>
              <w:t>each new iteration of the website and web-portal.</w:t>
            </w:r>
            <w:r w:rsidR="00F44674">
              <w:rPr>
                <w:rFonts w:cs="Arial"/>
              </w:rPr>
              <w:t xml:space="preserve"> No less than two (2) weeks prior to the annual launch </w:t>
            </w:r>
            <w:r w:rsidR="00F44674">
              <w:rPr>
                <w:rFonts w:cs="Arial"/>
              </w:rPr>
              <w:lastRenderedPageBreak/>
              <w:t xml:space="preserve">dates for each, the </w:t>
            </w:r>
            <w:r w:rsidR="00A146AC">
              <w:rPr>
                <w:rFonts w:cs="Arial"/>
              </w:rPr>
              <w:t>Contractor</w:t>
            </w:r>
            <w:r w:rsidR="00F44674">
              <w:rPr>
                <w:rFonts w:cs="Arial"/>
              </w:rPr>
              <w:t xml:space="preserve"> must have final content and functionality completed, as determined by ETF.</w:t>
            </w:r>
          </w:p>
          <w:p w14:paraId="07984C73" w14:textId="3FEDE8CE" w:rsidR="00F949AD" w:rsidRPr="00C939AD" w:rsidRDefault="00F949AD" w:rsidP="00F01E1A">
            <w:pPr>
              <w:pStyle w:val="LRWLBodyText"/>
              <w:numPr>
                <w:ilvl w:val="0"/>
                <w:numId w:val="37"/>
              </w:numPr>
            </w:pPr>
            <w:r w:rsidRPr="00161628">
              <w:rPr>
                <w:rFonts w:cs="Arial"/>
              </w:rPr>
              <w:t xml:space="preserve">Prior to any launch of the </w:t>
            </w:r>
            <w:r w:rsidR="00A146AC">
              <w:rPr>
                <w:rFonts w:cs="Arial"/>
              </w:rPr>
              <w:t>Contractor</w:t>
            </w:r>
            <w:r w:rsidRPr="00161628">
              <w:rPr>
                <w:rFonts w:cs="Arial"/>
              </w:rPr>
              <w:t xml:space="preserve"> website or web-portal, the </w:t>
            </w:r>
            <w:r w:rsidR="00A146AC">
              <w:rPr>
                <w:rFonts w:cs="Arial"/>
              </w:rPr>
              <w:t>Contractor</w:t>
            </w:r>
            <w:r w:rsidRPr="00161628">
              <w:rPr>
                <w:rFonts w:cs="Arial"/>
              </w:rPr>
              <w:t xml:space="preserve"> must test the accessibility of the website </w:t>
            </w:r>
            <w:r w:rsidR="00857631">
              <w:rPr>
                <w:rFonts w:cs="Arial"/>
              </w:rPr>
              <w:t>and</w:t>
            </w:r>
            <w:r w:rsidRPr="00161628">
              <w:rPr>
                <w:rFonts w:cs="Arial"/>
              </w:rPr>
              <w:t xml:space="preserve"> web-portal on multiple web browsers and from multiple internet carriers to ensure system capability.</w:t>
            </w:r>
          </w:p>
          <w:p w14:paraId="18E7BF4B" w14:textId="25090F5D" w:rsidR="003A098F" w:rsidRPr="00C939AD" w:rsidRDefault="003A098F" w:rsidP="00F01E1A">
            <w:pPr>
              <w:pStyle w:val="LRWLBodyText"/>
              <w:numPr>
                <w:ilvl w:val="0"/>
                <w:numId w:val="37"/>
              </w:numPr>
            </w:pPr>
            <w:r>
              <w:rPr>
                <w:rFonts w:cs="Arial"/>
              </w:rPr>
              <w:t xml:space="preserve">The </w:t>
            </w:r>
            <w:r w:rsidR="00A146AC">
              <w:rPr>
                <w:rFonts w:cs="Arial"/>
              </w:rPr>
              <w:t>Contractor</w:t>
            </w:r>
            <w:r w:rsidRPr="00247A48">
              <w:rPr>
                <w:rFonts w:cs="Arial"/>
              </w:rPr>
              <w:t xml:space="preserve"> must have </w:t>
            </w:r>
            <w:r w:rsidR="0005128D">
              <w:rPr>
                <w:rFonts w:cs="Arial"/>
              </w:rPr>
              <w:t xml:space="preserve">the </w:t>
            </w:r>
            <w:r w:rsidRPr="00247A48">
              <w:rPr>
                <w:rFonts w:cs="Arial"/>
              </w:rPr>
              <w:t xml:space="preserve">website content updated and approved by </w:t>
            </w:r>
            <w:r w:rsidR="00D75231">
              <w:rPr>
                <w:rFonts w:cs="Arial"/>
              </w:rPr>
              <w:t xml:space="preserve">the </w:t>
            </w:r>
            <w:r w:rsidRPr="00247A48">
              <w:rPr>
                <w:rFonts w:cs="Arial"/>
              </w:rPr>
              <w:t xml:space="preserve">ETF </w:t>
            </w:r>
            <w:r w:rsidR="00D75231">
              <w:rPr>
                <w:rFonts w:cs="Arial"/>
              </w:rPr>
              <w:t xml:space="preserve">Program Manager </w:t>
            </w:r>
            <w:r w:rsidRPr="00247A48">
              <w:rPr>
                <w:rFonts w:cs="Arial"/>
              </w:rPr>
              <w:t xml:space="preserve">at least two </w:t>
            </w:r>
            <w:r w:rsidR="00C360B7">
              <w:rPr>
                <w:rFonts w:cs="Arial"/>
              </w:rPr>
              <w:t xml:space="preserve">(2) </w:t>
            </w:r>
            <w:r w:rsidRPr="00247A48">
              <w:rPr>
                <w:rFonts w:cs="Arial"/>
              </w:rPr>
              <w:t xml:space="preserve">weeks prior to the annual </w:t>
            </w:r>
            <w:proofErr w:type="gramStart"/>
            <w:r w:rsidRPr="00247A48">
              <w:rPr>
                <w:rFonts w:cs="Arial"/>
              </w:rPr>
              <w:t>It’s</w:t>
            </w:r>
            <w:proofErr w:type="gramEnd"/>
            <w:r w:rsidRPr="00247A48">
              <w:rPr>
                <w:rFonts w:cs="Arial"/>
              </w:rPr>
              <w:t xml:space="preserve"> Your Choice open enrollment period.</w:t>
            </w:r>
          </w:p>
          <w:p w14:paraId="0DA261E3" w14:textId="679F252B" w:rsidR="003A098F" w:rsidRDefault="003A098F" w:rsidP="00F01E1A">
            <w:pPr>
              <w:pStyle w:val="LRWLBodyText"/>
              <w:numPr>
                <w:ilvl w:val="0"/>
                <w:numId w:val="37"/>
              </w:numPr>
            </w:pPr>
            <w:r>
              <w:rPr>
                <w:rFonts w:cs="Arial"/>
              </w:rPr>
              <w:t xml:space="preserve">The </w:t>
            </w:r>
            <w:r w:rsidR="00A146AC">
              <w:rPr>
                <w:rFonts w:cs="Arial"/>
              </w:rPr>
              <w:t>Contractor</w:t>
            </w:r>
            <w:r>
              <w:rPr>
                <w:rFonts w:cs="Arial"/>
              </w:rPr>
              <w:t xml:space="preserve"> must </w:t>
            </w:r>
            <w:r w:rsidRPr="00EE64FF">
              <w:rPr>
                <w:rFonts w:cs="Arial"/>
              </w:rPr>
              <w:t xml:space="preserve">obtain </w:t>
            </w:r>
            <w:r w:rsidR="0005128D">
              <w:rPr>
                <w:rFonts w:cs="Arial"/>
              </w:rPr>
              <w:t>prior</w:t>
            </w:r>
            <w:r w:rsidRPr="00EE64FF">
              <w:rPr>
                <w:rFonts w:cs="Arial"/>
              </w:rPr>
              <w:t xml:space="preserve"> approval from</w:t>
            </w:r>
            <w:r w:rsidR="00D75231">
              <w:rPr>
                <w:rFonts w:cs="Arial"/>
              </w:rPr>
              <w:t xml:space="preserve"> the</w:t>
            </w:r>
            <w:r w:rsidRPr="00EE64FF">
              <w:rPr>
                <w:rFonts w:cs="Arial"/>
              </w:rPr>
              <w:t xml:space="preserve"> </w:t>
            </w:r>
            <w:r>
              <w:rPr>
                <w:rFonts w:cs="Arial"/>
              </w:rPr>
              <w:t xml:space="preserve">ETF </w:t>
            </w:r>
            <w:r w:rsidR="00D75231">
              <w:rPr>
                <w:rFonts w:cs="Arial"/>
              </w:rPr>
              <w:t xml:space="preserve">Program Manager </w:t>
            </w:r>
            <w:r w:rsidRPr="00EE64FF">
              <w:rPr>
                <w:rFonts w:cs="Arial"/>
              </w:rPr>
              <w:t xml:space="preserve">for </w:t>
            </w:r>
            <w:r w:rsidR="0080690C">
              <w:rPr>
                <w:rFonts w:cs="Arial"/>
              </w:rPr>
              <w:t xml:space="preserve">the inclusion of </w:t>
            </w:r>
            <w:r w:rsidRPr="00EE64FF">
              <w:rPr>
                <w:rFonts w:cs="Arial"/>
              </w:rPr>
              <w:t>any links</w:t>
            </w:r>
            <w:r>
              <w:rPr>
                <w:rFonts w:cs="Arial"/>
              </w:rPr>
              <w:t xml:space="preserve"> </w:t>
            </w:r>
            <w:r w:rsidRPr="00EE64FF">
              <w:rPr>
                <w:rFonts w:cs="Arial"/>
              </w:rPr>
              <w:t xml:space="preserve">from the </w:t>
            </w:r>
            <w:r w:rsidR="0080690C">
              <w:rPr>
                <w:rFonts w:cs="Arial"/>
              </w:rPr>
              <w:t xml:space="preserve">website or </w:t>
            </w:r>
            <w:r w:rsidR="008C379A">
              <w:rPr>
                <w:rFonts w:cs="Arial"/>
              </w:rPr>
              <w:t>web-portal</w:t>
            </w:r>
            <w:r w:rsidR="0080690C">
              <w:rPr>
                <w:rFonts w:cs="Arial"/>
              </w:rPr>
              <w:t xml:space="preserve"> </w:t>
            </w:r>
            <w:r w:rsidRPr="00EE64FF">
              <w:rPr>
                <w:rFonts w:cs="Arial"/>
              </w:rPr>
              <w:t>to an external (governmental and non-governmental) website/portal or</w:t>
            </w:r>
            <w:r>
              <w:rPr>
                <w:rFonts w:cs="Arial"/>
              </w:rPr>
              <w:t xml:space="preserve"> </w:t>
            </w:r>
            <w:r w:rsidRPr="00EE64FF">
              <w:rPr>
                <w:rFonts w:cs="Arial"/>
              </w:rPr>
              <w:t>webpage.</w:t>
            </w:r>
          </w:p>
        </w:tc>
      </w:tr>
      <w:tr w:rsidR="003A098F" w14:paraId="21E9187A" w14:textId="77777777" w:rsidTr="00410419">
        <w:tc>
          <w:tcPr>
            <w:tcW w:w="535" w:type="dxa"/>
          </w:tcPr>
          <w:p w14:paraId="601B0B76" w14:textId="0B75ACCF" w:rsidR="003A098F" w:rsidRDefault="003A098F" w:rsidP="00F01E1A">
            <w:pPr>
              <w:pStyle w:val="ListParagraph"/>
              <w:numPr>
                <w:ilvl w:val="0"/>
                <w:numId w:val="23"/>
              </w:numPr>
            </w:pPr>
          </w:p>
        </w:tc>
        <w:tc>
          <w:tcPr>
            <w:tcW w:w="8815" w:type="dxa"/>
          </w:tcPr>
          <w:p w14:paraId="013E20DC" w14:textId="77777777" w:rsidR="00AF6860" w:rsidRPr="00750568" w:rsidRDefault="00AF6860" w:rsidP="00AF6860">
            <w:pPr>
              <w:pStyle w:val="LRWLBodyText"/>
              <w:rPr>
                <w:rFonts w:cs="Arial"/>
                <w:color w:val="000000"/>
              </w:rPr>
            </w:pPr>
            <w:r w:rsidRPr="00750568">
              <w:rPr>
                <w:rFonts w:cs="Arial"/>
                <w:color w:val="000000"/>
              </w:rPr>
              <w:t xml:space="preserve">The website and web-portal must be hosted in </w:t>
            </w:r>
            <w:r w:rsidRPr="00750568">
              <w:t xml:space="preserve">a secure data center with system monitoring, managed firewall services and managed backup services </w:t>
            </w:r>
            <w:r w:rsidRPr="00750568">
              <w:rPr>
                <w:rFonts w:cs="Arial"/>
                <w:color w:val="000000"/>
              </w:rPr>
              <w:t xml:space="preserve">within the United States and available twenty-four (24)-hours-a-day, seven (7) days a week, except for regularly scheduled maintenance. </w:t>
            </w:r>
          </w:p>
          <w:p w14:paraId="3271D5DF" w14:textId="03301670" w:rsidR="003A098F" w:rsidRPr="00750568" w:rsidRDefault="00AF6860" w:rsidP="00AF6860">
            <w:pPr>
              <w:pStyle w:val="LRWLBodyText"/>
              <w:rPr>
                <w:rFonts w:cs="Arial"/>
                <w:color w:val="000000"/>
              </w:rPr>
            </w:pPr>
            <w:r w:rsidRPr="00750568">
              <w:t xml:space="preserve">The data center network shall include robust firewall, intrusion prevention and intrusion detection systems to prevent and detect unauthorized access. </w:t>
            </w:r>
            <w:r w:rsidR="003A098F" w:rsidRPr="00750568">
              <w:rPr>
                <w:rFonts w:cs="Arial"/>
                <w:color w:val="000000"/>
              </w:rPr>
              <w:t>Any scheduled maintenance must occur between the hours of midnight and 5:00 a.m. CST</w:t>
            </w:r>
            <w:r w:rsidR="00AD34CD">
              <w:rPr>
                <w:rFonts w:cs="Arial"/>
                <w:color w:val="000000"/>
              </w:rPr>
              <w:t>/CDT</w:t>
            </w:r>
            <w:r w:rsidR="0005128D" w:rsidRPr="00750568">
              <w:rPr>
                <w:rFonts w:cs="Arial"/>
                <w:color w:val="000000"/>
              </w:rPr>
              <w:t xml:space="preserve"> </w:t>
            </w:r>
            <w:r w:rsidR="00100E6B" w:rsidRPr="00750568">
              <w:rPr>
                <w:rFonts w:cs="Arial"/>
                <w:color w:val="000000"/>
              </w:rPr>
              <w:t>or a</w:t>
            </w:r>
            <w:r w:rsidR="005C40DC" w:rsidRPr="00750568">
              <w:rPr>
                <w:rFonts w:cs="Arial"/>
                <w:color w:val="000000"/>
              </w:rPr>
              <w:t>nother</w:t>
            </w:r>
            <w:r w:rsidR="00100E6B" w:rsidRPr="00750568">
              <w:rPr>
                <w:rFonts w:cs="Arial"/>
                <w:color w:val="000000"/>
              </w:rPr>
              <w:t xml:space="preserve"> time agreed to by the ETF Program Manager, </w:t>
            </w:r>
            <w:r w:rsidR="003A098F" w:rsidRPr="00750568">
              <w:rPr>
                <w:rFonts w:cs="Arial"/>
                <w:color w:val="000000"/>
              </w:rPr>
              <w:t xml:space="preserve">and must be scheduled in advance with notification on the program website/portal. Unscheduled disruption to the availability of the website or </w:t>
            </w:r>
            <w:r w:rsidR="008C379A" w:rsidRPr="00750568">
              <w:rPr>
                <w:rFonts w:cs="Arial"/>
                <w:color w:val="000000"/>
              </w:rPr>
              <w:t>web-portal</w:t>
            </w:r>
            <w:r w:rsidR="003A098F" w:rsidRPr="00750568">
              <w:rPr>
                <w:rFonts w:cs="Arial"/>
                <w:color w:val="000000"/>
              </w:rPr>
              <w:t xml:space="preserve"> must be communicated to ETF immediately.</w:t>
            </w:r>
            <w:r w:rsidR="00860990" w:rsidRPr="00750568">
              <w:rPr>
                <w:rFonts w:cs="Arial"/>
                <w:color w:val="000000"/>
              </w:rPr>
              <w:t xml:space="preserve"> </w:t>
            </w:r>
            <w:r w:rsidR="00A146AC" w:rsidRPr="00750568">
              <w:rPr>
                <w:rFonts w:cs="Arial"/>
                <w:color w:val="000000"/>
              </w:rPr>
              <w:t>Contractor</w:t>
            </w:r>
            <w:r w:rsidR="00860990" w:rsidRPr="00750568">
              <w:rPr>
                <w:rFonts w:cs="Arial"/>
                <w:color w:val="000000"/>
              </w:rPr>
              <w:t xml:space="preserve"> must provide a 24-hour “hot line” number to be used </w:t>
            </w:r>
            <w:r w:rsidR="00C1275E" w:rsidRPr="00750568">
              <w:rPr>
                <w:rFonts w:cs="Arial"/>
                <w:color w:val="000000"/>
              </w:rPr>
              <w:t xml:space="preserve">by </w:t>
            </w:r>
            <w:r w:rsidR="00E46012" w:rsidRPr="00750568">
              <w:rPr>
                <w:rFonts w:cs="Arial"/>
                <w:color w:val="000000"/>
              </w:rPr>
              <w:t xml:space="preserve">Members </w:t>
            </w:r>
            <w:r w:rsidR="00C1275E" w:rsidRPr="00750568">
              <w:rPr>
                <w:rFonts w:cs="Arial"/>
                <w:color w:val="000000"/>
              </w:rPr>
              <w:t xml:space="preserve">and employer groups </w:t>
            </w:r>
            <w:r w:rsidR="00860990" w:rsidRPr="00750568">
              <w:rPr>
                <w:rFonts w:cs="Arial"/>
                <w:color w:val="000000"/>
              </w:rPr>
              <w:t xml:space="preserve">in the event </w:t>
            </w:r>
            <w:r w:rsidR="00857631" w:rsidRPr="00750568">
              <w:rPr>
                <w:rFonts w:cs="Arial"/>
                <w:color w:val="000000"/>
              </w:rPr>
              <w:t xml:space="preserve">of </w:t>
            </w:r>
            <w:r w:rsidR="00860990" w:rsidRPr="00750568">
              <w:rPr>
                <w:rFonts w:cs="Arial"/>
                <w:color w:val="000000"/>
              </w:rPr>
              <w:t>an unscheduled disruption or system shutdown</w:t>
            </w:r>
            <w:r w:rsidR="00C1275E" w:rsidRPr="00750568">
              <w:rPr>
                <w:rFonts w:cs="Arial"/>
                <w:color w:val="000000"/>
              </w:rPr>
              <w:t>.</w:t>
            </w:r>
          </w:p>
          <w:p w14:paraId="5426A2A1" w14:textId="77777777" w:rsidR="00AF6860" w:rsidRPr="00750568" w:rsidRDefault="00AF6860" w:rsidP="00AF6860">
            <w:pPr>
              <w:pStyle w:val="LRWLBodyText"/>
              <w:rPr>
                <w:rFonts w:cs="Arial"/>
              </w:rPr>
            </w:pPr>
            <w:r w:rsidRPr="00750568">
              <w:rPr>
                <w:rFonts w:cs="Arial"/>
              </w:rPr>
              <w:t>Contractor must have a regular patch management process defined for the infrastructure.</w:t>
            </w:r>
          </w:p>
          <w:p w14:paraId="6939D36D" w14:textId="77777777" w:rsidR="00AF6860" w:rsidRPr="00750568" w:rsidRDefault="00AF6860" w:rsidP="00AF6860">
            <w:pPr>
              <w:pStyle w:val="LRWLBodyText"/>
              <w:rPr>
                <w:rFonts w:cs="Arial"/>
              </w:rPr>
            </w:pPr>
            <w:r w:rsidRPr="00750568">
              <w:rPr>
                <w:rFonts w:cs="Arial"/>
              </w:rPr>
              <w:t>Contractor must have a defined maintenance time window for system patches, software upgrades.</w:t>
            </w:r>
          </w:p>
          <w:p w14:paraId="08939C8A" w14:textId="6A70EDBD" w:rsidR="00AF6860" w:rsidRPr="00247A48" w:rsidRDefault="00AF6860" w:rsidP="00AF6860">
            <w:pPr>
              <w:pStyle w:val="LRWLBodyText"/>
              <w:rPr>
                <w:rFonts w:cs="Arial"/>
              </w:rPr>
            </w:pPr>
            <w:r w:rsidRPr="00750568">
              <w:rPr>
                <w:rFonts w:cs="Arial"/>
              </w:rPr>
              <w:t>Outages in the system must be communicated through the portal or via alerts.</w:t>
            </w:r>
          </w:p>
        </w:tc>
      </w:tr>
      <w:tr w:rsidR="003A098F" w14:paraId="3F388642" w14:textId="77777777" w:rsidTr="00410419">
        <w:tc>
          <w:tcPr>
            <w:tcW w:w="535" w:type="dxa"/>
          </w:tcPr>
          <w:p w14:paraId="065CB898" w14:textId="77777777" w:rsidR="003A098F" w:rsidRDefault="003A098F" w:rsidP="00F01E1A">
            <w:pPr>
              <w:pStyle w:val="ListParagraph"/>
              <w:numPr>
                <w:ilvl w:val="0"/>
                <w:numId w:val="23"/>
              </w:numPr>
            </w:pPr>
          </w:p>
        </w:tc>
        <w:tc>
          <w:tcPr>
            <w:tcW w:w="8815" w:type="dxa"/>
          </w:tcPr>
          <w:p w14:paraId="2E226281" w14:textId="77777777" w:rsidR="003A098F" w:rsidRPr="00D70E7F" w:rsidRDefault="003A098F" w:rsidP="00410419">
            <w:pPr>
              <w:pStyle w:val="LRWLBodyText"/>
              <w:rPr>
                <w:rFonts w:cs="Arial"/>
                <w:color w:val="000000"/>
              </w:rPr>
            </w:pPr>
            <w:r w:rsidRPr="00D70E7F">
              <w:rPr>
                <w:rFonts w:cs="Arial"/>
                <w:color w:val="000000"/>
              </w:rPr>
              <w:t xml:space="preserve">Basic program information must be available on the website without requiring log in credentials for the portal including: </w:t>
            </w:r>
          </w:p>
          <w:p w14:paraId="7829CD0C" w14:textId="399146CB" w:rsidR="003A098F" w:rsidRPr="00D70E7F" w:rsidRDefault="003A098F" w:rsidP="00F01E1A">
            <w:pPr>
              <w:pStyle w:val="LRWLBodyText"/>
              <w:numPr>
                <w:ilvl w:val="3"/>
                <w:numId w:val="67"/>
              </w:numPr>
              <w:ind w:left="707"/>
              <w:rPr>
                <w:rFonts w:cs="Arial"/>
                <w:color w:val="000000"/>
              </w:rPr>
            </w:pPr>
            <w:r w:rsidRPr="00D70E7F">
              <w:rPr>
                <w:rFonts w:cs="Arial"/>
                <w:color w:val="000000"/>
              </w:rPr>
              <w:t xml:space="preserve">General information about the programs offered as part of </w:t>
            </w:r>
            <w:r w:rsidR="00D75670" w:rsidRPr="00435511">
              <w:rPr>
                <w:rFonts w:cs="Arial"/>
              </w:rPr>
              <w:t xml:space="preserve">the </w:t>
            </w:r>
            <w:r w:rsidR="00D75670">
              <w:rPr>
                <w:rFonts w:cs="Arial"/>
              </w:rPr>
              <w:t>GHIP/WPE programs</w:t>
            </w:r>
            <w:r w:rsidR="0005128D">
              <w:rPr>
                <w:rFonts w:cs="Arial"/>
                <w:color w:val="000000"/>
              </w:rPr>
              <w:t>;</w:t>
            </w:r>
          </w:p>
          <w:p w14:paraId="76AC2B8F" w14:textId="1555A308" w:rsidR="003A098F" w:rsidRDefault="003A098F" w:rsidP="00F01E1A">
            <w:pPr>
              <w:pStyle w:val="LRWLBodyText"/>
              <w:numPr>
                <w:ilvl w:val="3"/>
                <w:numId w:val="67"/>
              </w:numPr>
              <w:ind w:left="707"/>
              <w:rPr>
                <w:rFonts w:cs="Arial"/>
                <w:color w:val="000000"/>
              </w:rPr>
            </w:pPr>
            <w:r w:rsidRPr="00D70E7F">
              <w:rPr>
                <w:rFonts w:cs="Arial"/>
                <w:color w:val="000000"/>
              </w:rPr>
              <w:t>Frequently asked questions and answers</w:t>
            </w:r>
            <w:r w:rsidR="0005128D">
              <w:rPr>
                <w:rFonts w:cs="Arial"/>
                <w:color w:val="000000"/>
              </w:rPr>
              <w:t>;</w:t>
            </w:r>
          </w:p>
          <w:p w14:paraId="73E42C52" w14:textId="0C04C76B" w:rsidR="0005128D" w:rsidRPr="00131EE5" w:rsidRDefault="0005128D" w:rsidP="00F01E1A">
            <w:pPr>
              <w:pStyle w:val="LRWLBodyText"/>
              <w:numPr>
                <w:ilvl w:val="0"/>
                <w:numId w:val="67"/>
              </w:numPr>
              <w:ind w:left="707"/>
            </w:pPr>
            <w:r>
              <w:rPr>
                <w:rFonts w:cs="Arial"/>
              </w:rPr>
              <w:t xml:space="preserve">The </w:t>
            </w:r>
            <w:r w:rsidR="00A146AC">
              <w:rPr>
                <w:rFonts w:cs="Arial"/>
              </w:rPr>
              <w:t>Contractor</w:t>
            </w:r>
            <w:r>
              <w:rPr>
                <w:rFonts w:cs="Arial"/>
              </w:rPr>
              <w:t xml:space="preserve"> form for biometrics obtained by the Participant’s healthcare provider</w:t>
            </w:r>
            <w:r w:rsidR="00984326">
              <w:rPr>
                <w:rFonts w:cs="Arial"/>
              </w:rPr>
              <w:t>;</w:t>
            </w:r>
          </w:p>
          <w:p w14:paraId="461003DC" w14:textId="54C6A2FA" w:rsidR="003A098F" w:rsidRPr="00D70E7F" w:rsidRDefault="003A098F" w:rsidP="00F01E1A">
            <w:pPr>
              <w:pStyle w:val="LRWLBodyText"/>
              <w:numPr>
                <w:ilvl w:val="0"/>
                <w:numId w:val="67"/>
              </w:numPr>
              <w:ind w:left="707"/>
              <w:rPr>
                <w:rFonts w:cs="Arial"/>
                <w:color w:val="000000"/>
              </w:rPr>
            </w:pPr>
            <w:r w:rsidRPr="00D70E7F">
              <w:rPr>
                <w:rFonts w:cs="Arial"/>
                <w:color w:val="000000"/>
              </w:rPr>
              <w:t>Outreach materials</w:t>
            </w:r>
            <w:r w:rsidR="0005128D">
              <w:rPr>
                <w:rFonts w:cs="Arial"/>
                <w:color w:val="000000"/>
              </w:rPr>
              <w:t>;</w:t>
            </w:r>
          </w:p>
          <w:p w14:paraId="6F70F2F3" w14:textId="2E630387" w:rsidR="003A098F" w:rsidRPr="00D70E7F" w:rsidRDefault="003A098F" w:rsidP="00F01E1A">
            <w:pPr>
              <w:pStyle w:val="LRWLBodyText"/>
              <w:numPr>
                <w:ilvl w:val="0"/>
                <w:numId w:val="67"/>
              </w:numPr>
              <w:ind w:left="707"/>
              <w:rPr>
                <w:rFonts w:cs="Arial"/>
                <w:color w:val="000000"/>
              </w:rPr>
            </w:pPr>
            <w:r w:rsidRPr="00D70E7F">
              <w:rPr>
                <w:rFonts w:cs="Arial"/>
                <w:color w:val="000000"/>
              </w:rPr>
              <w:t xml:space="preserve">Information about how to access </w:t>
            </w:r>
            <w:r w:rsidR="00A146AC">
              <w:rPr>
                <w:rFonts w:cs="Arial"/>
                <w:color w:val="000000"/>
              </w:rPr>
              <w:t>Contractor</w:t>
            </w:r>
            <w:r w:rsidRPr="00D70E7F">
              <w:rPr>
                <w:rFonts w:cs="Arial"/>
                <w:color w:val="000000"/>
              </w:rPr>
              <w:t xml:space="preserve"> services;</w:t>
            </w:r>
            <w:r w:rsidR="0080690C">
              <w:rPr>
                <w:rFonts w:cs="Arial"/>
                <w:color w:val="000000"/>
              </w:rPr>
              <w:t xml:space="preserve"> and</w:t>
            </w:r>
          </w:p>
          <w:p w14:paraId="5B2540EC" w14:textId="278B199A" w:rsidR="003A098F" w:rsidRPr="00247A48" w:rsidRDefault="003A098F" w:rsidP="00F01E1A">
            <w:pPr>
              <w:pStyle w:val="LRWLBodyText"/>
              <w:numPr>
                <w:ilvl w:val="0"/>
                <w:numId w:val="67"/>
              </w:numPr>
              <w:ind w:left="707"/>
              <w:rPr>
                <w:rFonts w:cs="Arial"/>
              </w:rPr>
            </w:pPr>
            <w:r w:rsidRPr="00D70E7F">
              <w:rPr>
                <w:rFonts w:cs="Arial"/>
                <w:color w:val="000000"/>
              </w:rPr>
              <w:t xml:space="preserve">Contact information, including </w:t>
            </w:r>
            <w:r w:rsidR="0080690C">
              <w:rPr>
                <w:rFonts w:cs="Arial"/>
                <w:color w:val="000000"/>
              </w:rPr>
              <w:t xml:space="preserve">USPS </w:t>
            </w:r>
            <w:r w:rsidRPr="00D70E7F">
              <w:rPr>
                <w:rFonts w:cs="Arial"/>
                <w:color w:val="000000"/>
              </w:rPr>
              <w:t>mail addresses</w:t>
            </w:r>
            <w:r w:rsidR="0080690C">
              <w:rPr>
                <w:rFonts w:cs="Arial"/>
                <w:color w:val="000000"/>
              </w:rPr>
              <w:t xml:space="preserve">, email address and customer </w:t>
            </w:r>
            <w:r w:rsidRPr="00D70E7F">
              <w:rPr>
                <w:rFonts w:cs="Arial"/>
                <w:color w:val="000000"/>
              </w:rPr>
              <w:t>service</w:t>
            </w:r>
            <w:r w:rsidR="0080690C">
              <w:rPr>
                <w:rFonts w:cs="Arial"/>
                <w:color w:val="000000"/>
              </w:rPr>
              <w:t xml:space="preserve"> phone</w:t>
            </w:r>
            <w:r w:rsidRPr="00D70E7F">
              <w:rPr>
                <w:rFonts w:cs="Arial"/>
                <w:color w:val="000000"/>
              </w:rPr>
              <w:t xml:space="preserve"> number for the </w:t>
            </w:r>
            <w:r w:rsidR="00A146AC">
              <w:rPr>
                <w:rFonts w:cs="Arial"/>
                <w:color w:val="000000"/>
              </w:rPr>
              <w:t>Contractor</w:t>
            </w:r>
            <w:r w:rsidRPr="00D70E7F">
              <w:rPr>
                <w:rFonts w:cs="Arial"/>
                <w:color w:val="000000"/>
              </w:rPr>
              <w:t>.</w:t>
            </w:r>
          </w:p>
        </w:tc>
      </w:tr>
      <w:tr w:rsidR="003A098F" w14:paraId="2848D14A" w14:textId="77777777" w:rsidTr="00410419">
        <w:tc>
          <w:tcPr>
            <w:tcW w:w="535" w:type="dxa"/>
          </w:tcPr>
          <w:p w14:paraId="76837AB9" w14:textId="77777777" w:rsidR="003A098F" w:rsidRDefault="003A098F" w:rsidP="00F01E1A">
            <w:pPr>
              <w:pStyle w:val="ListParagraph"/>
              <w:numPr>
                <w:ilvl w:val="0"/>
                <w:numId w:val="23"/>
              </w:numPr>
            </w:pPr>
          </w:p>
        </w:tc>
        <w:tc>
          <w:tcPr>
            <w:tcW w:w="8815" w:type="dxa"/>
          </w:tcPr>
          <w:p w14:paraId="2D0808DD" w14:textId="58C4628E" w:rsidR="003A098F" w:rsidRPr="00247A48" w:rsidRDefault="003A098F" w:rsidP="00410419">
            <w:pPr>
              <w:rPr>
                <w:rFonts w:ascii="Arial" w:hAnsi="Arial" w:cs="Arial"/>
              </w:rPr>
            </w:pPr>
            <w:r w:rsidRPr="00EE64FF">
              <w:rPr>
                <w:rFonts w:ascii="Arial" w:hAnsi="Arial" w:cs="Arial"/>
              </w:rPr>
              <w:t xml:space="preserve">To ensure accessibility among persons with a disability, the </w:t>
            </w:r>
            <w:r w:rsidR="00A146AC">
              <w:rPr>
                <w:rFonts w:ascii="Arial" w:hAnsi="Arial" w:cs="Arial"/>
              </w:rPr>
              <w:t>Contractor</w:t>
            </w:r>
            <w:r>
              <w:rPr>
                <w:rFonts w:ascii="Arial" w:hAnsi="Arial" w:cs="Arial"/>
              </w:rPr>
              <w:t>’s w</w:t>
            </w:r>
            <w:r w:rsidRPr="00EE64FF">
              <w:rPr>
                <w:rFonts w:ascii="Arial" w:hAnsi="Arial" w:cs="Arial"/>
              </w:rPr>
              <w:t xml:space="preserve">ebsite and </w:t>
            </w:r>
            <w:r w:rsidR="008C379A">
              <w:rPr>
                <w:rFonts w:ascii="Arial" w:hAnsi="Arial" w:cs="Arial"/>
              </w:rPr>
              <w:t>web-portal</w:t>
            </w:r>
            <w:r w:rsidRPr="00EE64FF">
              <w:rPr>
                <w:rFonts w:ascii="Arial" w:hAnsi="Arial" w:cs="Arial"/>
              </w:rPr>
              <w:t xml:space="preserve"> must  comply with Section 508 of the Rehabilitation Act of 1973 (29 USC</w:t>
            </w:r>
            <w:r>
              <w:rPr>
                <w:rFonts w:ascii="Arial" w:hAnsi="Arial" w:cs="Arial"/>
              </w:rPr>
              <w:t xml:space="preserve"> </w:t>
            </w:r>
            <w:r w:rsidRPr="00EE64FF">
              <w:rPr>
                <w:rFonts w:ascii="Arial" w:hAnsi="Arial" w:cs="Arial"/>
              </w:rPr>
              <w:t xml:space="preserve">Section 794d) and implementing regulations at 36 CFR 1194 </w:t>
            </w:r>
            <w:r w:rsidR="00247556">
              <w:rPr>
                <w:rFonts w:ascii="Arial" w:hAnsi="Arial" w:cs="Arial"/>
              </w:rPr>
              <w:t>Subp</w:t>
            </w:r>
            <w:r w:rsidR="00247556" w:rsidRPr="00EE64FF">
              <w:rPr>
                <w:rFonts w:ascii="Arial" w:hAnsi="Arial" w:cs="Arial"/>
              </w:rPr>
              <w:t>arts A-D.</w:t>
            </w:r>
            <w:r w:rsidR="00247556">
              <w:rPr>
                <w:rFonts w:ascii="Arial" w:hAnsi="Arial" w:cs="Arial"/>
              </w:rPr>
              <w:t xml:space="preserve"> </w:t>
            </w:r>
            <w:r w:rsidR="00247556" w:rsidRPr="00354E78">
              <w:rPr>
                <w:rFonts w:ascii="Arial" w:hAnsi="Arial" w:cs="Arial"/>
              </w:rPr>
              <w:t xml:space="preserve">The website </w:t>
            </w:r>
            <w:r w:rsidR="00247556" w:rsidRPr="00354E78">
              <w:rPr>
                <w:rFonts w:ascii="Arial" w:hAnsi="Arial" w:cs="Arial"/>
              </w:rPr>
              <w:lastRenderedPageBreak/>
              <w:t xml:space="preserve">must also and conform </w:t>
            </w:r>
            <w:r w:rsidR="00D46699" w:rsidRPr="00354E78">
              <w:rPr>
                <w:rFonts w:ascii="Arial" w:hAnsi="Arial" w:cs="Arial"/>
              </w:rPr>
              <w:t>to</w:t>
            </w:r>
            <w:r w:rsidR="00247556" w:rsidRPr="00354E78">
              <w:rPr>
                <w:rFonts w:ascii="Arial" w:hAnsi="Arial" w:cs="Arial"/>
              </w:rPr>
              <w:t xml:space="preserve"> W3C’s Web Content Accessibility Guidelines (WCAG) 2.0 (see</w:t>
            </w:r>
            <w:r w:rsidR="00247556" w:rsidRPr="00354E78">
              <w:rPr>
                <w:rFonts w:ascii="Arial" w:hAnsi="Arial" w:cs="Arial"/>
                <w:color w:val="0000FF"/>
              </w:rPr>
              <w:t xml:space="preserve"> </w:t>
            </w:r>
            <w:hyperlink r:id="rId25" w:history="1">
              <w:r w:rsidR="00247556" w:rsidRPr="00354E78">
                <w:rPr>
                  <w:rStyle w:val="Hyperlink"/>
                  <w:rFonts w:ascii="Arial" w:hAnsi="Arial" w:cs="Arial"/>
                </w:rPr>
                <w:t>http://www.w3.org/TR/WCAG20/</w:t>
              </w:r>
            </w:hyperlink>
            <w:r w:rsidR="00247556" w:rsidRPr="00354E78">
              <w:rPr>
                <w:rFonts w:ascii="Arial" w:hAnsi="Arial" w:cs="Arial"/>
              </w:rPr>
              <w:t>).</w:t>
            </w:r>
          </w:p>
        </w:tc>
      </w:tr>
      <w:tr w:rsidR="003A098F" w14:paraId="3C0C9414" w14:textId="77777777" w:rsidTr="00410419">
        <w:tc>
          <w:tcPr>
            <w:tcW w:w="535" w:type="dxa"/>
          </w:tcPr>
          <w:p w14:paraId="0C91D6E8" w14:textId="77777777" w:rsidR="003A098F" w:rsidRDefault="003A098F" w:rsidP="00F01E1A">
            <w:pPr>
              <w:pStyle w:val="ListParagraph"/>
              <w:numPr>
                <w:ilvl w:val="0"/>
                <w:numId w:val="23"/>
              </w:numPr>
            </w:pPr>
          </w:p>
        </w:tc>
        <w:tc>
          <w:tcPr>
            <w:tcW w:w="8815" w:type="dxa"/>
          </w:tcPr>
          <w:p w14:paraId="51EE3FA6" w14:textId="74B73589" w:rsidR="003A098F" w:rsidRPr="00247A48" w:rsidRDefault="003A098F" w:rsidP="008C379A">
            <w:pPr>
              <w:rPr>
                <w:rFonts w:ascii="Arial" w:hAnsi="Arial" w:cs="Arial"/>
              </w:rPr>
            </w:pPr>
            <w:r>
              <w:rPr>
                <w:rFonts w:ascii="Arial" w:hAnsi="Arial" w:cs="Arial"/>
              </w:rPr>
              <w:t xml:space="preserve">The </w:t>
            </w:r>
            <w:r w:rsidR="00A146AC">
              <w:rPr>
                <w:rFonts w:ascii="Arial" w:hAnsi="Arial" w:cs="Arial"/>
              </w:rPr>
              <w:t>Contractor</w:t>
            </w:r>
            <w:r w:rsidRPr="00247A48">
              <w:rPr>
                <w:rFonts w:ascii="Arial" w:hAnsi="Arial" w:cs="Arial"/>
              </w:rPr>
              <w:t xml:space="preserve"> must be able to link user profiles and site access permissions to the daily eligibility file provided by ETF and make updates based on current eligibility within </w:t>
            </w:r>
            <w:r w:rsidR="008C379A">
              <w:rPr>
                <w:rFonts w:ascii="Arial" w:hAnsi="Arial" w:cs="Arial"/>
              </w:rPr>
              <w:t>three</w:t>
            </w:r>
            <w:r w:rsidRPr="00247A48">
              <w:rPr>
                <w:rFonts w:ascii="Arial" w:hAnsi="Arial" w:cs="Arial"/>
              </w:rPr>
              <w:t xml:space="preserve"> (</w:t>
            </w:r>
            <w:r w:rsidR="008C379A">
              <w:rPr>
                <w:rFonts w:ascii="Arial" w:hAnsi="Arial" w:cs="Arial"/>
              </w:rPr>
              <w:t>3</w:t>
            </w:r>
            <w:r w:rsidRPr="00247A48">
              <w:rPr>
                <w:rFonts w:ascii="Arial" w:hAnsi="Arial" w:cs="Arial"/>
              </w:rPr>
              <w:t xml:space="preserve">) </w:t>
            </w:r>
            <w:r w:rsidR="00FE39AA">
              <w:rPr>
                <w:rFonts w:ascii="Arial" w:hAnsi="Arial" w:cs="Arial"/>
              </w:rPr>
              <w:t xml:space="preserve">Business </w:t>
            </w:r>
            <w:r w:rsidRPr="00247A48">
              <w:rPr>
                <w:rFonts w:ascii="Arial" w:hAnsi="Arial" w:cs="Arial"/>
              </w:rPr>
              <w:t>Days of data receipt.</w:t>
            </w:r>
          </w:p>
        </w:tc>
      </w:tr>
      <w:tr w:rsidR="003A098F" w14:paraId="7A3DBB30" w14:textId="77777777" w:rsidTr="00410419">
        <w:tc>
          <w:tcPr>
            <w:tcW w:w="535" w:type="dxa"/>
          </w:tcPr>
          <w:p w14:paraId="499995C3" w14:textId="77777777" w:rsidR="003A098F" w:rsidRDefault="003A098F" w:rsidP="00F01E1A">
            <w:pPr>
              <w:pStyle w:val="ListParagraph"/>
              <w:numPr>
                <w:ilvl w:val="0"/>
                <w:numId w:val="23"/>
              </w:numPr>
            </w:pPr>
          </w:p>
        </w:tc>
        <w:tc>
          <w:tcPr>
            <w:tcW w:w="8815" w:type="dxa"/>
          </w:tcPr>
          <w:p w14:paraId="24133328" w14:textId="338DCA2C" w:rsidR="003A098F" w:rsidRDefault="003A098F" w:rsidP="00410419">
            <w:pPr>
              <w:pStyle w:val="LRWLBodyText"/>
              <w:rPr>
                <w:rFonts w:cs="Arial"/>
              </w:rPr>
            </w:pPr>
            <w:r>
              <w:rPr>
                <w:rFonts w:cs="Arial"/>
              </w:rPr>
              <w:t xml:space="preserve">The </w:t>
            </w:r>
            <w:r w:rsidR="00A146AC">
              <w:rPr>
                <w:rFonts w:cs="Arial"/>
              </w:rPr>
              <w:t>Contractor</w:t>
            </w:r>
            <w:r>
              <w:rPr>
                <w:rFonts w:cs="Arial"/>
              </w:rPr>
              <w:t xml:space="preserve"> must have </w:t>
            </w:r>
            <w:r w:rsidR="008C379A">
              <w:rPr>
                <w:rFonts w:cs="Arial"/>
              </w:rPr>
              <w:t>web-portal</w:t>
            </w:r>
            <w:r>
              <w:rPr>
                <w:rFonts w:cs="Arial"/>
              </w:rPr>
              <w:t xml:space="preserve"> content and functionality updated, tested and approved by</w:t>
            </w:r>
            <w:r w:rsidR="00D75231">
              <w:rPr>
                <w:rFonts w:cs="Arial"/>
              </w:rPr>
              <w:t xml:space="preserve"> the</w:t>
            </w:r>
            <w:r>
              <w:rPr>
                <w:rFonts w:cs="Arial"/>
              </w:rPr>
              <w:t xml:space="preserve"> ETF </w:t>
            </w:r>
            <w:r w:rsidR="00D75231">
              <w:rPr>
                <w:rFonts w:cs="Arial"/>
              </w:rPr>
              <w:t>Program</w:t>
            </w:r>
            <w:r w:rsidR="008C379A">
              <w:rPr>
                <w:rFonts w:cs="Arial"/>
              </w:rPr>
              <w:t xml:space="preserve"> Manager</w:t>
            </w:r>
            <w:r w:rsidR="00D75231">
              <w:rPr>
                <w:rFonts w:cs="Arial"/>
              </w:rPr>
              <w:t xml:space="preserve"> </w:t>
            </w:r>
            <w:r>
              <w:rPr>
                <w:rFonts w:cs="Arial"/>
              </w:rPr>
              <w:t xml:space="preserve">at least </w:t>
            </w:r>
            <w:r w:rsidR="008C379A">
              <w:rPr>
                <w:rFonts w:cs="Arial"/>
              </w:rPr>
              <w:t>fourteen (14) Days</w:t>
            </w:r>
            <w:r>
              <w:rPr>
                <w:rFonts w:cs="Arial"/>
              </w:rPr>
              <w:t xml:space="preserve"> prior to the </w:t>
            </w:r>
            <w:r w:rsidR="008C379A">
              <w:rPr>
                <w:rFonts w:cs="Arial"/>
              </w:rPr>
              <w:t>program year start date.</w:t>
            </w:r>
            <w:r>
              <w:rPr>
                <w:rFonts w:cs="Arial"/>
              </w:rPr>
              <w:t xml:space="preserve"> All </w:t>
            </w:r>
            <w:r w:rsidR="008C379A">
              <w:rPr>
                <w:rFonts w:cs="Arial"/>
              </w:rPr>
              <w:t>web-portal</w:t>
            </w:r>
            <w:r>
              <w:rPr>
                <w:rFonts w:cs="Arial"/>
              </w:rPr>
              <w:t xml:space="preserve"> features must be available with a single sign-on and must include:</w:t>
            </w:r>
          </w:p>
          <w:p w14:paraId="0F9E4CCB" w14:textId="17854F82" w:rsidR="003A098F" w:rsidRDefault="0005128D" w:rsidP="00750568">
            <w:pPr>
              <w:pStyle w:val="LRWLBodyText"/>
              <w:numPr>
                <w:ilvl w:val="1"/>
                <w:numId w:val="13"/>
              </w:numPr>
              <w:ind w:left="707"/>
              <w:rPr>
                <w:rFonts w:cs="Arial"/>
              </w:rPr>
            </w:pPr>
            <w:r>
              <w:rPr>
                <w:rFonts w:cs="Arial"/>
              </w:rPr>
              <w:t>U</w:t>
            </w:r>
            <w:r w:rsidR="003A098F">
              <w:rPr>
                <w:rFonts w:cs="Arial"/>
              </w:rPr>
              <w:t>ser name and password creation and recovery</w:t>
            </w:r>
            <w:r w:rsidR="0080690C">
              <w:rPr>
                <w:rFonts w:cs="Arial"/>
              </w:rPr>
              <w:t>;</w:t>
            </w:r>
          </w:p>
          <w:p w14:paraId="46F4B142" w14:textId="7047E346" w:rsidR="003A098F" w:rsidRPr="004B1118" w:rsidRDefault="0005128D" w:rsidP="00750568">
            <w:pPr>
              <w:pStyle w:val="LRWLBodyText"/>
              <w:numPr>
                <w:ilvl w:val="1"/>
                <w:numId w:val="13"/>
              </w:numPr>
              <w:ind w:left="707"/>
            </w:pPr>
            <w:r>
              <w:rPr>
                <w:rFonts w:cs="Arial"/>
              </w:rPr>
              <w:t>E</w:t>
            </w:r>
            <w:r w:rsidR="003A098F">
              <w:rPr>
                <w:rFonts w:cs="Arial"/>
              </w:rPr>
              <w:t>ligibility confirmation</w:t>
            </w:r>
            <w:r w:rsidR="0080690C">
              <w:rPr>
                <w:rFonts w:cs="Arial"/>
              </w:rPr>
              <w:t>;</w:t>
            </w:r>
          </w:p>
          <w:p w14:paraId="3440FC95" w14:textId="7A5CD1D4" w:rsidR="003A098F" w:rsidRPr="00E346B2" w:rsidRDefault="0005128D" w:rsidP="00750568">
            <w:pPr>
              <w:pStyle w:val="LRWLBodyText"/>
              <w:numPr>
                <w:ilvl w:val="1"/>
                <w:numId w:val="13"/>
              </w:numPr>
              <w:ind w:left="707"/>
            </w:pPr>
            <w:r>
              <w:t>S</w:t>
            </w:r>
            <w:r w:rsidR="003A098F">
              <w:t xml:space="preserve">corecard </w:t>
            </w:r>
            <w:r w:rsidR="0080690C">
              <w:t>that is presented to the Participant for tracking and summarizing the program requirements;</w:t>
            </w:r>
          </w:p>
          <w:p w14:paraId="3C269E2C" w14:textId="06B2932C" w:rsidR="003A098F" w:rsidRPr="004B1118" w:rsidRDefault="0005128D" w:rsidP="00750568">
            <w:pPr>
              <w:pStyle w:val="LRWLBodyText"/>
              <w:numPr>
                <w:ilvl w:val="1"/>
                <w:numId w:val="13"/>
              </w:numPr>
              <w:ind w:left="707"/>
            </w:pPr>
            <w:r>
              <w:rPr>
                <w:rFonts w:cs="Arial"/>
              </w:rPr>
              <w:t>A</w:t>
            </w:r>
            <w:r w:rsidR="003A098F">
              <w:rPr>
                <w:rFonts w:cs="Arial"/>
              </w:rPr>
              <w:t>ccess to the health risk assessment</w:t>
            </w:r>
            <w:r w:rsidR="0080690C">
              <w:rPr>
                <w:rFonts w:cs="Arial"/>
              </w:rPr>
              <w:t>;</w:t>
            </w:r>
          </w:p>
          <w:p w14:paraId="308EC0BF" w14:textId="6F6DD78C" w:rsidR="003A098F" w:rsidRPr="00BF176B" w:rsidRDefault="0005128D" w:rsidP="00750568">
            <w:pPr>
              <w:pStyle w:val="LRWLBodyText"/>
              <w:numPr>
                <w:ilvl w:val="1"/>
                <w:numId w:val="13"/>
              </w:numPr>
              <w:ind w:left="707"/>
            </w:pPr>
            <w:r>
              <w:rPr>
                <w:rFonts w:cs="Arial"/>
              </w:rPr>
              <w:t>I</w:t>
            </w:r>
            <w:r w:rsidR="003A098F">
              <w:rPr>
                <w:rFonts w:cs="Arial"/>
              </w:rPr>
              <w:t xml:space="preserve">nformation on the </w:t>
            </w:r>
            <w:r w:rsidR="00A146AC">
              <w:rPr>
                <w:rFonts w:cs="Arial"/>
              </w:rPr>
              <w:t>Contractor</w:t>
            </w:r>
            <w:r w:rsidR="00100E6B">
              <w:rPr>
                <w:rFonts w:cs="Arial"/>
              </w:rPr>
              <w:t>-</w:t>
            </w:r>
            <w:r w:rsidR="003A098F">
              <w:rPr>
                <w:rFonts w:cs="Arial"/>
              </w:rPr>
              <w:t>provided biometric screening events and registration system</w:t>
            </w:r>
            <w:r w:rsidR="0080690C">
              <w:rPr>
                <w:rFonts w:cs="Arial"/>
              </w:rPr>
              <w:t>;</w:t>
            </w:r>
            <w:r w:rsidR="003A098F">
              <w:rPr>
                <w:rFonts w:cs="Arial"/>
              </w:rPr>
              <w:t xml:space="preserve"> </w:t>
            </w:r>
          </w:p>
          <w:p w14:paraId="64086237" w14:textId="12305F5D" w:rsidR="003A098F" w:rsidRPr="004B1118" w:rsidRDefault="0005128D" w:rsidP="00750568">
            <w:pPr>
              <w:pStyle w:val="LRWLBodyText"/>
              <w:numPr>
                <w:ilvl w:val="1"/>
                <w:numId w:val="13"/>
              </w:numPr>
              <w:ind w:left="707"/>
            </w:pPr>
            <w:r>
              <w:rPr>
                <w:rFonts w:cs="Arial"/>
              </w:rPr>
              <w:t>S</w:t>
            </w:r>
            <w:r w:rsidR="003A098F">
              <w:rPr>
                <w:rFonts w:cs="Arial"/>
              </w:rPr>
              <w:t>ecure upload functionality for submitting program required documentation</w:t>
            </w:r>
            <w:r w:rsidR="0080690C">
              <w:rPr>
                <w:rFonts w:cs="Arial"/>
              </w:rPr>
              <w:t>;</w:t>
            </w:r>
          </w:p>
          <w:p w14:paraId="30ACCC58" w14:textId="7FB094D6" w:rsidR="003A098F" w:rsidRPr="00D70E7F" w:rsidRDefault="0005128D" w:rsidP="00750568">
            <w:pPr>
              <w:pStyle w:val="LRWLBodyText"/>
              <w:numPr>
                <w:ilvl w:val="1"/>
                <w:numId w:val="13"/>
              </w:numPr>
              <w:ind w:left="707"/>
            </w:pPr>
            <w:r>
              <w:t>C</w:t>
            </w:r>
            <w:r w:rsidR="003A098F">
              <w:t>ommunication functions that allow user</w:t>
            </w:r>
            <w:r w:rsidR="0080690C">
              <w:t>s</w:t>
            </w:r>
            <w:r w:rsidR="003A098F">
              <w:t xml:space="preserve"> to submit secure questions to the </w:t>
            </w:r>
            <w:r w:rsidR="00A146AC">
              <w:t>Contractor</w:t>
            </w:r>
            <w:r w:rsidR="003A098F">
              <w:t xml:space="preserve"> and allow the </w:t>
            </w:r>
            <w:r w:rsidR="00A146AC">
              <w:t>Contractor</w:t>
            </w:r>
            <w:r w:rsidR="003A098F">
              <w:t xml:space="preserve"> to push general and targeted communications to user</w:t>
            </w:r>
            <w:r w:rsidR="00036EE5">
              <w:t>s</w:t>
            </w:r>
            <w:r w:rsidR="00860990">
              <w:t xml:space="preserve"> via USPS, e-mail, text and other standard communication vehicles, as requested by ETF</w:t>
            </w:r>
            <w:r w:rsidR="0080690C">
              <w:t>;</w:t>
            </w:r>
          </w:p>
          <w:p w14:paraId="7028292D" w14:textId="344AC0E4" w:rsidR="003A098F" w:rsidRPr="00E346B2" w:rsidRDefault="0005128D" w:rsidP="00750568">
            <w:pPr>
              <w:pStyle w:val="LRWLBodyText"/>
              <w:numPr>
                <w:ilvl w:val="1"/>
                <w:numId w:val="13"/>
              </w:numPr>
              <w:ind w:left="707"/>
            </w:pPr>
            <w:r>
              <w:rPr>
                <w:rFonts w:cs="Arial"/>
              </w:rPr>
              <w:t>I</w:t>
            </w:r>
            <w:r w:rsidR="003A098F">
              <w:rPr>
                <w:rFonts w:cs="Arial"/>
              </w:rPr>
              <w:t xml:space="preserve">ncentive payment </w:t>
            </w:r>
            <w:r w:rsidR="0080690C">
              <w:rPr>
                <w:rFonts w:cs="Arial"/>
              </w:rPr>
              <w:t>status</w:t>
            </w:r>
            <w:r w:rsidR="00D33D25">
              <w:rPr>
                <w:rFonts w:cs="Arial"/>
              </w:rPr>
              <w:t xml:space="preserve"> (e.g., pending, issued</w:t>
            </w:r>
            <w:r w:rsidR="0036209D">
              <w:rPr>
                <w:rFonts w:cs="Arial"/>
              </w:rPr>
              <w:t>,</w:t>
            </w:r>
            <w:r w:rsidR="00D33D25">
              <w:rPr>
                <w:rFonts w:cs="Arial"/>
              </w:rPr>
              <w:t xml:space="preserve"> etc.)</w:t>
            </w:r>
            <w:r w:rsidR="0080690C">
              <w:rPr>
                <w:rFonts w:cs="Arial"/>
              </w:rPr>
              <w:t>;</w:t>
            </w:r>
          </w:p>
          <w:p w14:paraId="4FC0A20D" w14:textId="3F074422" w:rsidR="003A098F" w:rsidRPr="00D17B2A" w:rsidRDefault="0005128D" w:rsidP="00750568">
            <w:pPr>
              <w:pStyle w:val="LRWLBodyText"/>
              <w:numPr>
                <w:ilvl w:val="1"/>
                <w:numId w:val="13"/>
              </w:numPr>
              <w:ind w:left="707"/>
            </w:pPr>
            <w:r>
              <w:rPr>
                <w:rFonts w:cs="Arial"/>
              </w:rPr>
              <w:t>E</w:t>
            </w:r>
            <w:r w:rsidR="003A098F">
              <w:rPr>
                <w:rFonts w:cs="Arial"/>
              </w:rPr>
              <w:t xml:space="preserve">ducational modules available on demand and recommended to the Participant </w:t>
            </w:r>
            <w:r w:rsidR="00860990">
              <w:rPr>
                <w:rFonts w:cs="Arial"/>
              </w:rPr>
              <w:t xml:space="preserve">based on Participant’s </w:t>
            </w:r>
            <w:r w:rsidR="003A098F">
              <w:rPr>
                <w:rFonts w:cs="Arial"/>
              </w:rPr>
              <w:t>complet</w:t>
            </w:r>
            <w:r w:rsidR="00860990">
              <w:rPr>
                <w:rFonts w:cs="Arial"/>
              </w:rPr>
              <w:t>ed</w:t>
            </w:r>
            <w:r w:rsidR="003A098F">
              <w:rPr>
                <w:rFonts w:cs="Arial"/>
              </w:rPr>
              <w:t xml:space="preserve"> health risk assessment</w:t>
            </w:r>
            <w:r w:rsidR="00860990">
              <w:rPr>
                <w:rFonts w:cs="Arial"/>
              </w:rPr>
              <w:t xml:space="preserve"> and biometric screening</w:t>
            </w:r>
            <w:r w:rsidR="0080690C">
              <w:rPr>
                <w:rFonts w:cs="Arial"/>
              </w:rPr>
              <w:t>;</w:t>
            </w:r>
          </w:p>
          <w:p w14:paraId="10E91A4C" w14:textId="74793D6E" w:rsidR="003D53E3" w:rsidRDefault="003D53E3" w:rsidP="00750568">
            <w:pPr>
              <w:pStyle w:val="LRWLBodyText"/>
              <w:numPr>
                <w:ilvl w:val="2"/>
                <w:numId w:val="13"/>
              </w:numPr>
              <w:ind w:left="1607" w:hanging="360"/>
            </w:pPr>
            <w:r>
              <w:t xml:space="preserve">A variety of health topics must be made available to </w:t>
            </w:r>
            <w:r w:rsidR="00E46012">
              <w:t xml:space="preserve">Members </w:t>
            </w:r>
            <w:r>
              <w:t xml:space="preserve">including, but not limited to nutrition, </w:t>
            </w:r>
            <w:r w:rsidRPr="003D53E3">
              <w:t>physical activity, sleep, stress, tobacco use, excessive alcohol use, and medication adherence.</w:t>
            </w:r>
            <w:r>
              <w:t xml:space="preserve"> </w:t>
            </w:r>
          </w:p>
          <w:p w14:paraId="5E407D50" w14:textId="47CCBCA8" w:rsidR="00D17B2A" w:rsidRPr="004B1118" w:rsidRDefault="00F26D20" w:rsidP="00750568">
            <w:pPr>
              <w:pStyle w:val="LRWLBodyText"/>
              <w:numPr>
                <w:ilvl w:val="2"/>
                <w:numId w:val="13"/>
              </w:numPr>
              <w:ind w:left="1607" w:hanging="360"/>
            </w:pPr>
            <w:r>
              <w:t>For each program year, t</w:t>
            </w:r>
            <w:r w:rsidR="00D17B2A" w:rsidRPr="00D17B2A">
              <w:t xml:space="preserve">he </w:t>
            </w:r>
            <w:r w:rsidR="00A146AC">
              <w:t>Contractor</w:t>
            </w:r>
            <w:r w:rsidR="00D17B2A" w:rsidRPr="00D17B2A">
              <w:t xml:space="preserve"> must provide at least two (2) education modules to Participants on the </w:t>
            </w:r>
            <w:r w:rsidR="00A146AC">
              <w:t>Contractor</w:t>
            </w:r>
            <w:r w:rsidR="00D17B2A" w:rsidRPr="00D17B2A">
              <w:t xml:space="preserve"> web-portal that are customized with ET</w:t>
            </w:r>
            <w:r w:rsidR="004B5F57">
              <w:t>F-</w:t>
            </w:r>
            <w:r w:rsidR="00D17B2A" w:rsidRPr="00D17B2A">
              <w:t>provided content.</w:t>
            </w:r>
          </w:p>
          <w:p w14:paraId="2C15AC8F" w14:textId="4F9FCB8A" w:rsidR="003A098F" w:rsidRPr="00AF6AC7" w:rsidRDefault="0080690C" w:rsidP="00750568">
            <w:pPr>
              <w:pStyle w:val="LRWLBodyText"/>
              <w:numPr>
                <w:ilvl w:val="1"/>
                <w:numId w:val="13"/>
              </w:numPr>
              <w:ind w:left="707"/>
            </w:pPr>
            <w:r>
              <w:rPr>
                <w:rFonts w:cs="Arial"/>
              </w:rPr>
              <w:t xml:space="preserve">Functions that allow users </w:t>
            </w:r>
            <w:r w:rsidR="00036EE5">
              <w:rPr>
                <w:rFonts w:cs="Arial"/>
              </w:rPr>
              <w:t>to s</w:t>
            </w:r>
            <w:r w:rsidR="003A098F">
              <w:rPr>
                <w:rFonts w:cs="Arial"/>
              </w:rPr>
              <w:t>chedul</w:t>
            </w:r>
            <w:r w:rsidR="00036EE5">
              <w:rPr>
                <w:rFonts w:cs="Arial"/>
              </w:rPr>
              <w:t>e</w:t>
            </w:r>
            <w:r w:rsidR="00860990">
              <w:rPr>
                <w:rFonts w:cs="Arial"/>
              </w:rPr>
              <w:t xml:space="preserve"> or contact</w:t>
            </w:r>
            <w:r w:rsidR="003A098F">
              <w:rPr>
                <w:rFonts w:cs="Arial"/>
              </w:rPr>
              <w:t xml:space="preserve"> </w:t>
            </w:r>
            <w:r>
              <w:rPr>
                <w:rFonts w:cs="Arial"/>
              </w:rPr>
              <w:t>h</w:t>
            </w:r>
            <w:r w:rsidR="003A098F">
              <w:rPr>
                <w:rFonts w:cs="Arial"/>
              </w:rPr>
              <w:t>ealth coaching</w:t>
            </w:r>
            <w:r>
              <w:rPr>
                <w:rFonts w:cs="Arial"/>
              </w:rPr>
              <w:t>;</w:t>
            </w:r>
          </w:p>
          <w:p w14:paraId="369B497C" w14:textId="1819629C" w:rsidR="00F8031C" w:rsidRPr="004B1118" w:rsidRDefault="00F8031C" w:rsidP="00750568">
            <w:pPr>
              <w:pStyle w:val="LRWLBodyText"/>
              <w:numPr>
                <w:ilvl w:val="1"/>
                <w:numId w:val="13"/>
              </w:numPr>
              <w:ind w:left="707"/>
            </w:pPr>
            <w:r>
              <w:rPr>
                <w:rFonts w:cs="Arial"/>
              </w:rPr>
              <w:t xml:space="preserve">An area for </w:t>
            </w:r>
            <w:r w:rsidR="00E46012">
              <w:rPr>
                <w:rFonts w:cs="Arial"/>
              </w:rPr>
              <w:t xml:space="preserve">Members </w:t>
            </w:r>
            <w:r>
              <w:rPr>
                <w:rFonts w:cs="Arial"/>
              </w:rPr>
              <w:t>to view their health coaching information (e.g. upcoming appointment information, appointment history, individualized plans and goals, etc.); and</w:t>
            </w:r>
            <w:r w:rsidR="00D46699">
              <w:rPr>
                <w:rFonts w:cs="Arial"/>
              </w:rPr>
              <w:t>,</w:t>
            </w:r>
          </w:p>
          <w:p w14:paraId="5689A9A3" w14:textId="6FB9D615" w:rsidR="003A098F" w:rsidRPr="00614728" w:rsidRDefault="0005128D" w:rsidP="00750568">
            <w:pPr>
              <w:pStyle w:val="LRWLBodyText"/>
              <w:numPr>
                <w:ilvl w:val="1"/>
                <w:numId w:val="13"/>
              </w:numPr>
              <w:ind w:left="707"/>
              <w:rPr>
                <w:rFonts w:cs="Arial"/>
              </w:rPr>
            </w:pPr>
            <w:r>
              <w:rPr>
                <w:rFonts w:cs="Arial"/>
              </w:rPr>
              <w:t>R</w:t>
            </w:r>
            <w:r w:rsidR="003A098F">
              <w:rPr>
                <w:rFonts w:cs="Arial"/>
              </w:rPr>
              <w:t>eporting functionality</w:t>
            </w:r>
            <w:r w:rsidR="0080690C">
              <w:rPr>
                <w:rFonts w:cs="Arial"/>
              </w:rPr>
              <w:t>.</w:t>
            </w:r>
          </w:p>
        </w:tc>
      </w:tr>
      <w:tr w:rsidR="00CC3E22" w14:paraId="55691236" w14:textId="77777777" w:rsidTr="00410419">
        <w:tc>
          <w:tcPr>
            <w:tcW w:w="535" w:type="dxa"/>
          </w:tcPr>
          <w:p w14:paraId="3104441C" w14:textId="77777777" w:rsidR="00CC3E22" w:rsidRDefault="00CC3E22" w:rsidP="00F01E1A">
            <w:pPr>
              <w:pStyle w:val="ListParagraph"/>
              <w:numPr>
                <w:ilvl w:val="0"/>
                <w:numId w:val="23"/>
              </w:numPr>
            </w:pPr>
          </w:p>
        </w:tc>
        <w:tc>
          <w:tcPr>
            <w:tcW w:w="8815" w:type="dxa"/>
          </w:tcPr>
          <w:p w14:paraId="0BB5B839" w14:textId="4C9C1751" w:rsidR="00CC3E22" w:rsidRDefault="00CC3E22" w:rsidP="00E46012">
            <w:pPr>
              <w:rPr>
                <w:rFonts w:ascii="Arial" w:hAnsi="Arial" w:cs="Arial"/>
              </w:rPr>
            </w:pPr>
            <w:r>
              <w:rPr>
                <w:rFonts w:ascii="Arial" w:hAnsi="Arial" w:cs="Arial"/>
              </w:rPr>
              <w:t xml:space="preserve">The web-portal must be available to all </w:t>
            </w:r>
            <w:r w:rsidR="00E46012">
              <w:rPr>
                <w:rFonts w:ascii="Arial" w:hAnsi="Arial" w:cs="Arial"/>
              </w:rPr>
              <w:t xml:space="preserve">Members </w:t>
            </w:r>
            <w:r>
              <w:rPr>
                <w:rFonts w:ascii="Arial" w:hAnsi="Arial" w:cs="Arial"/>
              </w:rPr>
              <w:t xml:space="preserve">of the GHIP/WPE programs, </w:t>
            </w:r>
            <w:r w:rsidR="003D53E3">
              <w:rPr>
                <w:rFonts w:ascii="Arial" w:hAnsi="Arial" w:cs="Arial"/>
              </w:rPr>
              <w:t>with access for</w:t>
            </w:r>
            <w:r>
              <w:rPr>
                <w:rFonts w:ascii="Arial" w:hAnsi="Arial" w:cs="Arial"/>
              </w:rPr>
              <w:t xml:space="preserve"> earning the incentive </w:t>
            </w:r>
            <w:r w:rsidR="003D53E3">
              <w:rPr>
                <w:rFonts w:ascii="Arial" w:hAnsi="Arial" w:cs="Arial"/>
              </w:rPr>
              <w:t xml:space="preserve">limited </w:t>
            </w:r>
            <w:r>
              <w:rPr>
                <w:rFonts w:ascii="Arial" w:hAnsi="Arial" w:cs="Arial"/>
              </w:rPr>
              <w:t>to eligible Participants</w:t>
            </w:r>
            <w:r w:rsidR="003D53E3">
              <w:rPr>
                <w:rFonts w:ascii="Arial" w:hAnsi="Arial" w:cs="Arial"/>
              </w:rPr>
              <w:t xml:space="preserve"> only</w:t>
            </w:r>
            <w:r>
              <w:rPr>
                <w:rFonts w:ascii="Arial" w:hAnsi="Arial" w:cs="Arial"/>
              </w:rPr>
              <w:t>.</w:t>
            </w:r>
          </w:p>
        </w:tc>
      </w:tr>
      <w:tr w:rsidR="003A098F" w14:paraId="798DD0D4" w14:textId="77777777" w:rsidTr="00410419">
        <w:tc>
          <w:tcPr>
            <w:tcW w:w="535" w:type="dxa"/>
          </w:tcPr>
          <w:p w14:paraId="2D430CA3" w14:textId="67E7985E" w:rsidR="003A098F" w:rsidRDefault="003A098F" w:rsidP="00F01E1A">
            <w:pPr>
              <w:pStyle w:val="ListParagraph"/>
              <w:numPr>
                <w:ilvl w:val="0"/>
                <w:numId w:val="23"/>
              </w:numPr>
            </w:pPr>
          </w:p>
        </w:tc>
        <w:tc>
          <w:tcPr>
            <w:tcW w:w="8815" w:type="dxa"/>
          </w:tcPr>
          <w:p w14:paraId="004887C9" w14:textId="0C5A6961" w:rsidR="003A098F" w:rsidRPr="00614728" w:rsidRDefault="003271F5" w:rsidP="008A3CE2">
            <w:pPr>
              <w:rPr>
                <w:rFonts w:cs="Arial"/>
              </w:rPr>
            </w:pPr>
            <w:r>
              <w:rPr>
                <w:rFonts w:ascii="Arial" w:hAnsi="Arial" w:cs="Arial"/>
              </w:rPr>
              <w:t>For Participants employed by the University of Wisconsin System, t</w:t>
            </w:r>
            <w:r w:rsidR="003A098F">
              <w:rPr>
                <w:rFonts w:ascii="Arial" w:hAnsi="Arial" w:cs="Arial"/>
              </w:rPr>
              <w:t xml:space="preserve">he </w:t>
            </w:r>
            <w:r w:rsidR="00A146AC">
              <w:rPr>
                <w:rFonts w:ascii="Arial" w:hAnsi="Arial" w:cs="Arial"/>
              </w:rPr>
              <w:t>Contractor</w:t>
            </w:r>
            <w:r w:rsidR="003A098F">
              <w:rPr>
                <w:rFonts w:ascii="Arial" w:hAnsi="Arial" w:cs="Arial"/>
              </w:rPr>
              <w:t xml:space="preserve"> must be able to capture</w:t>
            </w:r>
            <w:r>
              <w:rPr>
                <w:rFonts w:ascii="Arial" w:hAnsi="Arial" w:cs="Arial"/>
              </w:rPr>
              <w:t xml:space="preserve">, either via the </w:t>
            </w:r>
            <w:r w:rsidR="008A3CE2">
              <w:rPr>
                <w:rFonts w:ascii="Arial" w:hAnsi="Arial" w:cs="Arial"/>
              </w:rPr>
              <w:t>user profile in the web-</w:t>
            </w:r>
            <w:r>
              <w:rPr>
                <w:rFonts w:ascii="Arial" w:hAnsi="Arial" w:cs="Arial"/>
              </w:rPr>
              <w:t>portal or as part of the health risk assessment,</w:t>
            </w:r>
            <w:r w:rsidR="003A098F">
              <w:rPr>
                <w:rFonts w:ascii="Arial" w:hAnsi="Arial" w:cs="Arial"/>
              </w:rPr>
              <w:t xml:space="preserve"> </w:t>
            </w:r>
            <w:r>
              <w:rPr>
                <w:rFonts w:ascii="Arial" w:hAnsi="Arial" w:cs="Arial"/>
              </w:rPr>
              <w:t xml:space="preserve">the name of the </w:t>
            </w:r>
            <w:r w:rsidR="00CC3E22">
              <w:rPr>
                <w:rFonts w:ascii="Arial" w:hAnsi="Arial" w:cs="Arial"/>
              </w:rPr>
              <w:t xml:space="preserve">primary </w:t>
            </w:r>
            <w:r>
              <w:rPr>
                <w:rFonts w:ascii="Arial" w:hAnsi="Arial" w:cs="Arial"/>
              </w:rPr>
              <w:t xml:space="preserve">campus on which the Participant is employed. This </w:t>
            </w:r>
            <w:r>
              <w:rPr>
                <w:rFonts w:ascii="Arial" w:hAnsi="Arial" w:cs="Arial"/>
              </w:rPr>
              <w:lastRenderedPageBreak/>
              <w:t>functionality must also be made available</w:t>
            </w:r>
            <w:r w:rsidR="00727801">
              <w:rPr>
                <w:rFonts w:ascii="Arial" w:hAnsi="Arial" w:cs="Arial"/>
              </w:rPr>
              <w:t xml:space="preserve">, by ETF request, </w:t>
            </w:r>
            <w:r>
              <w:rPr>
                <w:rFonts w:ascii="Arial" w:hAnsi="Arial" w:cs="Arial"/>
              </w:rPr>
              <w:t>to other large employer groups.</w:t>
            </w:r>
          </w:p>
        </w:tc>
      </w:tr>
      <w:tr w:rsidR="003A098F" w14:paraId="63749BDA" w14:textId="77777777" w:rsidTr="00410419">
        <w:tc>
          <w:tcPr>
            <w:tcW w:w="535" w:type="dxa"/>
          </w:tcPr>
          <w:p w14:paraId="509158AA" w14:textId="77777777" w:rsidR="003A098F" w:rsidRDefault="003A098F" w:rsidP="00F01E1A">
            <w:pPr>
              <w:pStyle w:val="ListParagraph"/>
              <w:numPr>
                <w:ilvl w:val="0"/>
                <w:numId w:val="23"/>
              </w:numPr>
            </w:pPr>
          </w:p>
        </w:tc>
        <w:tc>
          <w:tcPr>
            <w:tcW w:w="8815" w:type="dxa"/>
          </w:tcPr>
          <w:p w14:paraId="73035F86" w14:textId="038975CC" w:rsidR="003A098F" w:rsidRPr="00614728" w:rsidRDefault="003A098F" w:rsidP="00410419">
            <w:pPr>
              <w:rPr>
                <w:rFonts w:cs="Arial"/>
              </w:rPr>
            </w:pPr>
            <w:r w:rsidRPr="00D70E7F">
              <w:rPr>
                <w:rFonts w:ascii="Arial" w:hAnsi="Arial" w:cs="Arial"/>
              </w:rPr>
              <w:t xml:space="preserve">The </w:t>
            </w:r>
            <w:r w:rsidR="00A146AC">
              <w:rPr>
                <w:rFonts w:ascii="Arial" w:hAnsi="Arial" w:cs="Arial"/>
              </w:rPr>
              <w:t>Contractor</w:t>
            </w:r>
            <w:r w:rsidRPr="00D70E7F">
              <w:rPr>
                <w:rFonts w:ascii="Arial" w:hAnsi="Arial" w:cs="Arial"/>
              </w:rPr>
              <w:t xml:space="preserve"> </w:t>
            </w:r>
            <w:r w:rsidR="008C379A">
              <w:rPr>
                <w:rFonts w:ascii="Arial" w:hAnsi="Arial" w:cs="Arial"/>
              </w:rPr>
              <w:t>web-portal</w:t>
            </w:r>
            <w:r w:rsidRPr="00D70E7F">
              <w:rPr>
                <w:rFonts w:ascii="Arial" w:hAnsi="Arial" w:cs="Arial"/>
              </w:rPr>
              <w:t xml:space="preserve"> must be an interactive system that allows individuals</w:t>
            </w:r>
            <w:r>
              <w:rPr>
                <w:rFonts w:ascii="Arial" w:hAnsi="Arial" w:cs="Arial"/>
              </w:rPr>
              <w:t xml:space="preserve"> and </w:t>
            </w:r>
            <w:r w:rsidRPr="00D70E7F">
              <w:rPr>
                <w:rFonts w:ascii="Arial" w:hAnsi="Arial" w:cs="Arial"/>
              </w:rPr>
              <w:t xml:space="preserve">teams to create and participate in wellness challenges, track challenge progress </w:t>
            </w:r>
            <w:r w:rsidR="00860990">
              <w:rPr>
                <w:rFonts w:ascii="Arial" w:hAnsi="Arial" w:cs="Arial"/>
              </w:rPr>
              <w:t xml:space="preserve">via health trackers specified by ETF, </w:t>
            </w:r>
            <w:r w:rsidRPr="00D70E7F">
              <w:rPr>
                <w:rFonts w:ascii="Arial" w:hAnsi="Arial" w:cs="Arial"/>
              </w:rPr>
              <w:t>and communicate with other members</w:t>
            </w:r>
            <w:r>
              <w:rPr>
                <w:rFonts w:ascii="Arial" w:hAnsi="Arial" w:cs="Arial"/>
              </w:rPr>
              <w:t xml:space="preserve"> </w:t>
            </w:r>
            <w:r w:rsidRPr="00D70E7F">
              <w:rPr>
                <w:rFonts w:ascii="Arial" w:hAnsi="Arial" w:cs="Arial"/>
              </w:rPr>
              <w:t>who are participating in the challenge(s).</w:t>
            </w:r>
          </w:p>
        </w:tc>
      </w:tr>
      <w:tr w:rsidR="003A098F" w14:paraId="542F5DC3" w14:textId="77777777" w:rsidTr="00410419">
        <w:tc>
          <w:tcPr>
            <w:tcW w:w="535" w:type="dxa"/>
          </w:tcPr>
          <w:p w14:paraId="0B8BE3EC" w14:textId="77777777" w:rsidR="003A098F" w:rsidRDefault="003A098F" w:rsidP="00F01E1A">
            <w:pPr>
              <w:pStyle w:val="ListParagraph"/>
              <w:numPr>
                <w:ilvl w:val="0"/>
                <w:numId w:val="23"/>
              </w:numPr>
            </w:pPr>
          </w:p>
        </w:tc>
        <w:tc>
          <w:tcPr>
            <w:tcW w:w="8815" w:type="dxa"/>
          </w:tcPr>
          <w:p w14:paraId="10B39387" w14:textId="748F2CFD" w:rsidR="003A098F" w:rsidRDefault="003A098F" w:rsidP="00100E6B">
            <w:pPr>
              <w:rPr>
                <w:rFonts w:ascii="Arial" w:hAnsi="Arial" w:cs="Arial"/>
                <w:sz w:val="20"/>
                <w:szCs w:val="20"/>
              </w:rPr>
            </w:pPr>
            <w:r w:rsidRPr="00D70E7F">
              <w:rPr>
                <w:rFonts w:ascii="Arial" w:hAnsi="Arial" w:cs="Arial"/>
              </w:rPr>
              <w:t xml:space="preserve">The </w:t>
            </w:r>
            <w:r w:rsidR="00A146AC">
              <w:rPr>
                <w:rFonts w:ascii="Arial" w:hAnsi="Arial" w:cs="Arial"/>
              </w:rPr>
              <w:t>Contractor</w:t>
            </w:r>
            <w:r w:rsidRPr="00D70E7F">
              <w:rPr>
                <w:rFonts w:ascii="Arial" w:hAnsi="Arial" w:cs="Arial"/>
              </w:rPr>
              <w:t xml:space="preserve"> must update content and/or documents posted to or accessed via the</w:t>
            </w:r>
            <w:r>
              <w:rPr>
                <w:rFonts w:ascii="Arial" w:hAnsi="Arial" w:cs="Arial"/>
              </w:rPr>
              <w:t xml:space="preserve"> </w:t>
            </w:r>
            <w:r w:rsidRPr="00D70E7F">
              <w:rPr>
                <w:rFonts w:ascii="Arial" w:hAnsi="Arial" w:cs="Arial"/>
              </w:rPr>
              <w:t>website</w:t>
            </w:r>
            <w:r w:rsidR="00981318">
              <w:rPr>
                <w:rFonts w:ascii="Arial" w:hAnsi="Arial" w:cs="Arial"/>
              </w:rPr>
              <w:t xml:space="preserve"> and </w:t>
            </w:r>
            <w:r w:rsidRPr="00D70E7F">
              <w:rPr>
                <w:rFonts w:ascii="Arial" w:hAnsi="Arial" w:cs="Arial"/>
              </w:rPr>
              <w:t xml:space="preserve">portal within three (3) </w:t>
            </w:r>
            <w:r w:rsidR="002959CC">
              <w:rPr>
                <w:rFonts w:ascii="Arial" w:hAnsi="Arial" w:cs="Arial"/>
              </w:rPr>
              <w:t>Business Days</w:t>
            </w:r>
            <w:r w:rsidRPr="00D70E7F">
              <w:rPr>
                <w:rFonts w:ascii="Arial" w:hAnsi="Arial" w:cs="Arial"/>
              </w:rPr>
              <w:t xml:space="preserve"> of </w:t>
            </w:r>
            <w:r w:rsidR="00100E6B">
              <w:rPr>
                <w:rFonts w:ascii="Arial" w:hAnsi="Arial" w:cs="Arial"/>
              </w:rPr>
              <w:t xml:space="preserve">the </w:t>
            </w:r>
            <w:r w:rsidR="00100E6B" w:rsidRPr="00D70E7F">
              <w:rPr>
                <w:rFonts w:ascii="Arial" w:hAnsi="Arial" w:cs="Arial"/>
              </w:rPr>
              <w:t>ETF</w:t>
            </w:r>
            <w:r w:rsidR="00100E6B">
              <w:rPr>
                <w:rFonts w:ascii="Arial" w:hAnsi="Arial" w:cs="Arial"/>
              </w:rPr>
              <w:t xml:space="preserve"> Program Manager</w:t>
            </w:r>
            <w:r w:rsidR="00100E6B" w:rsidRPr="00D70E7F">
              <w:rPr>
                <w:rFonts w:ascii="Arial" w:hAnsi="Arial" w:cs="Arial"/>
              </w:rPr>
              <w:t xml:space="preserve"> </w:t>
            </w:r>
            <w:r w:rsidR="00100E6B">
              <w:rPr>
                <w:rFonts w:ascii="Arial" w:hAnsi="Arial" w:cs="Arial"/>
              </w:rPr>
              <w:t xml:space="preserve">approving such </w:t>
            </w:r>
            <w:r w:rsidR="00D75231" w:rsidRPr="00D70E7F">
              <w:rPr>
                <w:rFonts w:ascii="Arial" w:hAnsi="Arial" w:cs="Arial"/>
              </w:rPr>
              <w:t>content and/or documents</w:t>
            </w:r>
            <w:r w:rsidR="00D75231">
              <w:rPr>
                <w:rFonts w:ascii="Arial" w:hAnsi="Arial" w:cs="Arial"/>
              </w:rPr>
              <w:t>.</w:t>
            </w:r>
            <w:r w:rsidRPr="00D70E7F">
              <w:rPr>
                <w:rFonts w:ascii="Arial" w:hAnsi="Arial" w:cs="Arial"/>
              </w:rPr>
              <w:t xml:space="preserve"> </w:t>
            </w:r>
          </w:p>
        </w:tc>
      </w:tr>
      <w:tr w:rsidR="003A098F" w14:paraId="19534581" w14:textId="77777777" w:rsidTr="00410419">
        <w:tc>
          <w:tcPr>
            <w:tcW w:w="535" w:type="dxa"/>
          </w:tcPr>
          <w:p w14:paraId="382CD2C3" w14:textId="77777777" w:rsidR="003A098F" w:rsidRDefault="003A098F" w:rsidP="00F01E1A">
            <w:pPr>
              <w:pStyle w:val="ListParagraph"/>
              <w:numPr>
                <w:ilvl w:val="0"/>
                <w:numId w:val="23"/>
              </w:numPr>
            </w:pPr>
          </w:p>
        </w:tc>
        <w:tc>
          <w:tcPr>
            <w:tcW w:w="8815" w:type="dxa"/>
          </w:tcPr>
          <w:p w14:paraId="2A9E6346" w14:textId="33BDDA5A" w:rsidR="003A098F" w:rsidRPr="00D70E7F" w:rsidRDefault="003A098F" w:rsidP="008C379A">
            <w:pPr>
              <w:rPr>
                <w:rFonts w:ascii="Arial" w:hAnsi="Arial" w:cs="Arial"/>
              </w:rPr>
            </w:pPr>
            <w:r w:rsidRPr="00D70E7F">
              <w:rPr>
                <w:rFonts w:ascii="Arial" w:hAnsi="Arial" w:cs="Arial"/>
              </w:rPr>
              <w:t xml:space="preserve">The </w:t>
            </w:r>
            <w:r w:rsidR="00A146AC">
              <w:rPr>
                <w:rFonts w:ascii="Arial" w:hAnsi="Arial" w:cs="Arial"/>
              </w:rPr>
              <w:t>Contractor</w:t>
            </w:r>
            <w:r w:rsidRPr="00D70E7F">
              <w:rPr>
                <w:rFonts w:ascii="Arial" w:hAnsi="Arial" w:cs="Arial"/>
              </w:rPr>
              <w:t xml:space="preserve"> </w:t>
            </w:r>
            <w:r w:rsidR="008C379A">
              <w:rPr>
                <w:rFonts w:ascii="Arial" w:hAnsi="Arial" w:cs="Arial"/>
              </w:rPr>
              <w:t>web-portal</w:t>
            </w:r>
            <w:r w:rsidRPr="00D70E7F">
              <w:rPr>
                <w:rFonts w:ascii="Arial" w:hAnsi="Arial" w:cs="Arial"/>
              </w:rPr>
              <w:t xml:space="preserve"> must</w:t>
            </w:r>
            <w:r>
              <w:rPr>
                <w:rFonts w:ascii="Arial" w:hAnsi="Arial" w:cs="Arial"/>
              </w:rPr>
              <w:t xml:space="preserve"> have </w:t>
            </w:r>
            <w:r w:rsidR="00860990">
              <w:rPr>
                <w:rFonts w:ascii="Arial" w:hAnsi="Arial" w:cs="Arial"/>
              </w:rPr>
              <w:t xml:space="preserve">back-end system administrator </w:t>
            </w:r>
            <w:r>
              <w:rPr>
                <w:rFonts w:ascii="Arial" w:hAnsi="Arial" w:cs="Arial"/>
              </w:rPr>
              <w:t xml:space="preserve">data dashboard capabilities that allow ETF </w:t>
            </w:r>
            <w:r w:rsidR="008C379A">
              <w:rPr>
                <w:rFonts w:ascii="Arial" w:hAnsi="Arial" w:cs="Arial"/>
              </w:rPr>
              <w:t xml:space="preserve">administrative access to </w:t>
            </w:r>
            <w:r>
              <w:rPr>
                <w:rFonts w:ascii="Arial" w:hAnsi="Arial" w:cs="Arial"/>
              </w:rPr>
              <w:t>real time data</w:t>
            </w:r>
            <w:r w:rsidR="008C379A">
              <w:rPr>
                <w:rFonts w:ascii="Arial" w:hAnsi="Arial" w:cs="Arial"/>
              </w:rPr>
              <w:t xml:space="preserve"> on program participation and completion rates of program requirements</w:t>
            </w:r>
            <w:r>
              <w:rPr>
                <w:rFonts w:ascii="Arial" w:hAnsi="Arial" w:cs="Arial"/>
              </w:rPr>
              <w:t>.</w:t>
            </w:r>
          </w:p>
        </w:tc>
      </w:tr>
    </w:tbl>
    <w:p w14:paraId="19CC4A80" w14:textId="056431AB" w:rsidR="00F57731" w:rsidRDefault="004B2116" w:rsidP="00644C74">
      <w:pPr>
        <w:pStyle w:val="Heading2"/>
        <w:ind w:hanging="1926"/>
      </w:pPr>
      <w:r>
        <w:t xml:space="preserve">Wellness and Disease Management </w:t>
      </w:r>
      <w:r w:rsidR="00E75806">
        <w:t>Programs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964C6A" w14:paraId="3A528B8E" w14:textId="77777777" w:rsidTr="0059128F">
        <w:tc>
          <w:tcPr>
            <w:tcW w:w="535" w:type="dxa"/>
          </w:tcPr>
          <w:p w14:paraId="2E48A594" w14:textId="77777777" w:rsidR="00964C6A" w:rsidRDefault="00964C6A" w:rsidP="00F01E1A">
            <w:pPr>
              <w:pStyle w:val="ListParagraph"/>
              <w:numPr>
                <w:ilvl w:val="0"/>
                <w:numId w:val="64"/>
              </w:numPr>
            </w:pPr>
          </w:p>
        </w:tc>
        <w:tc>
          <w:tcPr>
            <w:tcW w:w="8815" w:type="dxa"/>
          </w:tcPr>
          <w:p w14:paraId="45E5DDF9" w14:textId="2467F048" w:rsidR="003344D6" w:rsidRDefault="00964C6A" w:rsidP="00DE2DBB">
            <w:pPr>
              <w:pStyle w:val="LRWLBodyText"/>
              <w:rPr>
                <w:rFonts w:cs="Arial"/>
              </w:rPr>
            </w:pPr>
            <w:r w:rsidRPr="00964C6A">
              <w:rPr>
                <w:rFonts w:cs="Arial"/>
              </w:rPr>
              <w:t xml:space="preserve">The </w:t>
            </w:r>
            <w:r w:rsidR="00A146AC">
              <w:rPr>
                <w:rFonts w:cs="Arial"/>
              </w:rPr>
              <w:t>Contractor</w:t>
            </w:r>
            <w:r w:rsidRPr="00964C6A">
              <w:rPr>
                <w:rFonts w:cs="Arial"/>
              </w:rPr>
              <w:t xml:space="preserve"> must have one (1) of the following accreditations within one (1) year of the </w:t>
            </w:r>
            <w:r w:rsidR="005C3915">
              <w:rPr>
                <w:rFonts w:cs="Arial"/>
              </w:rPr>
              <w:t>Contract</w:t>
            </w:r>
            <w:r w:rsidRPr="00964C6A">
              <w:rPr>
                <w:rFonts w:cs="Arial"/>
              </w:rPr>
              <w:t xml:space="preserve"> start date:</w:t>
            </w:r>
          </w:p>
          <w:p w14:paraId="430C4CA2" w14:textId="62E0BEA1" w:rsidR="00964C6A" w:rsidRDefault="00964C6A" w:rsidP="00F01E1A">
            <w:pPr>
              <w:pStyle w:val="LRWLBodyText"/>
              <w:numPr>
                <w:ilvl w:val="0"/>
                <w:numId w:val="65"/>
              </w:numPr>
              <w:rPr>
                <w:rFonts w:cs="Arial"/>
              </w:rPr>
            </w:pPr>
            <w:r w:rsidRPr="00964C6A">
              <w:rPr>
                <w:rFonts w:cs="Arial"/>
              </w:rPr>
              <w:t>National Committee on Quality Assurance (NCQA) provisional Wellness &amp; Health Promotion Accreditation;</w:t>
            </w:r>
          </w:p>
          <w:p w14:paraId="49E4A816" w14:textId="663F68AE" w:rsidR="00964C6A" w:rsidRPr="00964C6A" w:rsidRDefault="00964C6A" w:rsidP="00F01E1A">
            <w:pPr>
              <w:pStyle w:val="LRWLBodyText"/>
              <w:numPr>
                <w:ilvl w:val="0"/>
                <w:numId w:val="65"/>
              </w:numPr>
              <w:rPr>
                <w:rFonts w:cs="Arial"/>
              </w:rPr>
            </w:pPr>
            <w:r w:rsidRPr="00964C6A">
              <w:rPr>
                <w:rFonts w:cs="Arial"/>
              </w:rPr>
              <w:t>NCQA full or provisional disease management accreditation; or</w:t>
            </w:r>
          </w:p>
          <w:p w14:paraId="3404E1AD" w14:textId="146E5ABE" w:rsidR="00964C6A" w:rsidRDefault="00964C6A" w:rsidP="00F01E1A">
            <w:pPr>
              <w:pStyle w:val="LRWLBodyText"/>
              <w:numPr>
                <w:ilvl w:val="0"/>
                <w:numId w:val="65"/>
              </w:numPr>
              <w:rPr>
                <w:rFonts w:cs="Arial"/>
              </w:rPr>
            </w:pPr>
            <w:r w:rsidRPr="00964C6A">
              <w:rPr>
                <w:rFonts w:cs="Arial"/>
              </w:rPr>
              <w:t>Utilization Review Accreditation Commission (URAC) disease management</w:t>
            </w:r>
            <w:r w:rsidR="004B5F57">
              <w:rPr>
                <w:rFonts w:cs="Arial"/>
              </w:rPr>
              <w:t xml:space="preserve"> accreditation</w:t>
            </w:r>
            <w:r w:rsidRPr="00964C6A">
              <w:rPr>
                <w:rFonts w:cs="Arial"/>
              </w:rPr>
              <w:t>.</w:t>
            </w:r>
          </w:p>
        </w:tc>
      </w:tr>
      <w:tr w:rsidR="00F57731" w14:paraId="31DBF5F8" w14:textId="77777777" w:rsidTr="0059128F">
        <w:tc>
          <w:tcPr>
            <w:tcW w:w="535" w:type="dxa"/>
          </w:tcPr>
          <w:p w14:paraId="4D52D330" w14:textId="77777777" w:rsidR="00F57731" w:rsidRDefault="00F57731" w:rsidP="00F01E1A">
            <w:pPr>
              <w:pStyle w:val="ListParagraph"/>
              <w:numPr>
                <w:ilvl w:val="0"/>
                <w:numId w:val="64"/>
              </w:numPr>
            </w:pPr>
          </w:p>
        </w:tc>
        <w:tc>
          <w:tcPr>
            <w:tcW w:w="8815" w:type="dxa"/>
          </w:tcPr>
          <w:p w14:paraId="03664AF1" w14:textId="1B375499" w:rsidR="00F57731" w:rsidRDefault="00BC316E" w:rsidP="00F72165">
            <w:pPr>
              <w:pStyle w:val="LRWLBodyText"/>
              <w:rPr>
                <w:rFonts w:cs="Arial"/>
              </w:rPr>
            </w:pPr>
            <w:r>
              <w:rPr>
                <w:rFonts w:cs="Arial"/>
              </w:rPr>
              <w:t xml:space="preserve">The </w:t>
            </w:r>
            <w:r w:rsidR="00A146AC">
              <w:rPr>
                <w:rFonts w:cs="Arial"/>
              </w:rPr>
              <w:t>Contractor</w:t>
            </w:r>
            <w:r>
              <w:rPr>
                <w:rFonts w:cs="Arial"/>
              </w:rPr>
              <w:t xml:space="preserve"> must </w:t>
            </w:r>
            <w:r w:rsidR="00F72165">
              <w:rPr>
                <w:rFonts w:cs="Arial"/>
              </w:rPr>
              <w:t xml:space="preserve">be able to </w:t>
            </w:r>
            <w:r>
              <w:rPr>
                <w:rFonts w:cs="Arial"/>
              </w:rPr>
              <w:t>provide wellness and disease management programs</w:t>
            </w:r>
            <w:r w:rsidR="00F72165">
              <w:rPr>
                <w:rFonts w:cs="Arial"/>
              </w:rPr>
              <w:t xml:space="preserve"> to </w:t>
            </w:r>
            <w:r w:rsidR="00F42561">
              <w:rPr>
                <w:rFonts w:cs="Arial"/>
              </w:rPr>
              <w:t xml:space="preserve">eligible </w:t>
            </w:r>
            <w:r w:rsidR="00AE7E96">
              <w:rPr>
                <w:rFonts w:cs="Arial"/>
              </w:rPr>
              <w:t>Members</w:t>
            </w:r>
            <w:r w:rsidR="00F72165">
              <w:rPr>
                <w:rFonts w:cs="Arial"/>
              </w:rPr>
              <w:t xml:space="preserve"> including, but not limited to:</w:t>
            </w:r>
          </w:p>
          <w:p w14:paraId="3383F89C" w14:textId="706636B7" w:rsidR="00F72165" w:rsidRDefault="00F72165" w:rsidP="00F01E1A">
            <w:pPr>
              <w:pStyle w:val="LRWLBodyText"/>
              <w:numPr>
                <w:ilvl w:val="0"/>
                <w:numId w:val="44"/>
              </w:numPr>
              <w:rPr>
                <w:rFonts w:cs="Arial"/>
              </w:rPr>
            </w:pPr>
            <w:r>
              <w:rPr>
                <w:rFonts w:cs="Arial"/>
              </w:rPr>
              <w:t>Health coaching</w:t>
            </w:r>
            <w:r w:rsidR="00F42561">
              <w:rPr>
                <w:rFonts w:cs="Arial"/>
              </w:rPr>
              <w:t>;</w:t>
            </w:r>
          </w:p>
          <w:p w14:paraId="7CCC36D4" w14:textId="0148841F" w:rsidR="00F72165" w:rsidRDefault="00F72165" w:rsidP="00F01E1A">
            <w:pPr>
              <w:pStyle w:val="LRWLBodyText"/>
              <w:numPr>
                <w:ilvl w:val="0"/>
                <w:numId w:val="44"/>
              </w:numPr>
              <w:rPr>
                <w:rFonts w:cs="Arial"/>
              </w:rPr>
            </w:pPr>
            <w:r>
              <w:rPr>
                <w:rFonts w:cs="Arial"/>
              </w:rPr>
              <w:t>Educational resources, including short interactive health modules</w:t>
            </w:r>
            <w:r w:rsidR="00F42561">
              <w:rPr>
                <w:rFonts w:cs="Arial"/>
              </w:rPr>
              <w:t>;</w:t>
            </w:r>
          </w:p>
          <w:p w14:paraId="1763C61E" w14:textId="560138BB" w:rsidR="00F72165" w:rsidRDefault="00F72165" w:rsidP="00F01E1A">
            <w:pPr>
              <w:pStyle w:val="LRWLBodyText"/>
              <w:numPr>
                <w:ilvl w:val="0"/>
                <w:numId w:val="44"/>
              </w:numPr>
              <w:rPr>
                <w:rFonts w:cs="Arial"/>
              </w:rPr>
            </w:pPr>
            <w:r>
              <w:rPr>
                <w:rFonts w:cs="Arial"/>
              </w:rPr>
              <w:t>Tracking tools</w:t>
            </w:r>
            <w:r w:rsidR="00F42561">
              <w:rPr>
                <w:rFonts w:cs="Arial"/>
              </w:rPr>
              <w:t>;</w:t>
            </w:r>
            <w:r>
              <w:rPr>
                <w:rFonts w:cs="Arial"/>
              </w:rPr>
              <w:t xml:space="preserve"> and</w:t>
            </w:r>
          </w:p>
          <w:p w14:paraId="7D7CA53C" w14:textId="255CE365" w:rsidR="00F72165" w:rsidRPr="00F72165" w:rsidRDefault="00C90B93" w:rsidP="00F01E1A">
            <w:pPr>
              <w:pStyle w:val="LRWLBodyText"/>
              <w:numPr>
                <w:ilvl w:val="0"/>
                <w:numId w:val="44"/>
              </w:numPr>
              <w:rPr>
                <w:rFonts w:cs="Arial"/>
              </w:rPr>
            </w:pPr>
            <w:r>
              <w:rPr>
                <w:rFonts w:cs="Arial"/>
              </w:rPr>
              <w:t xml:space="preserve">Development </w:t>
            </w:r>
            <w:r w:rsidR="009722FC">
              <w:rPr>
                <w:rFonts w:cs="Arial"/>
              </w:rPr>
              <w:t xml:space="preserve">and facilitation </w:t>
            </w:r>
            <w:r>
              <w:rPr>
                <w:rFonts w:cs="Arial"/>
              </w:rPr>
              <w:t xml:space="preserve">of individual and </w:t>
            </w:r>
            <w:r w:rsidR="00E2525C">
              <w:rPr>
                <w:rFonts w:cs="Arial"/>
              </w:rPr>
              <w:t>group challenges</w:t>
            </w:r>
            <w:r w:rsidR="00F72165">
              <w:rPr>
                <w:rFonts w:cs="Arial"/>
              </w:rPr>
              <w:t>.</w:t>
            </w:r>
          </w:p>
        </w:tc>
      </w:tr>
      <w:tr w:rsidR="00964C6A" w14:paraId="77ACCE57" w14:textId="77777777" w:rsidTr="0059128F">
        <w:tc>
          <w:tcPr>
            <w:tcW w:w="535" w:type="dxa"/>
          </w:tcPr>
          <w:p w14:paraId="2C24CD10" w14:textId="77777777" w:rsidR="00964C6A" w:rsidRDefault="00964C6A" w:rsidP="00F01E1A">
            <w:pPr>
              <w:pStyle w:val="ListParagraph"/>
              <w:numPr>
                <w:ilvl w:val="0"/>
                <w:numId w:val="64"/>
              </w:numPr>
            </w:pPr>
          </w:p>
        </w:tc>
        <w:tc>
          <w:tcPr>
            <w:tcW w:w="8815" w:type="dxa"/>
          </w:tcPr>
          <w:p w14:paraId="1ADBA745" w14:textId="34B520B7" w:rsidR="00964C6A" w:rsidRDefault="00964C6A" w:rsidP="00AE7E96">
            <w:pPr>
              <w:pStyle w:val="LRWLBodyText"/>
              <w:rPr>
                <w:rFonts w:cs="Arial"/>
              </w:rPr>
            </w:pPr>
            <w:r>
              <w:rPr>
                <w:rFonts w:cs="Arial"/>
              </w:rPr>
              <w:t xml:space="preserve">The </w:t>
            </w:r>
            <w:r w:rsidR="00A146AC">
              <w:rPr>
                <w:rFonts w:cs="Arial"/>
              </w:rPr>
              <w:t>Contractor</w:t>
            </w:r>
            <w:r w:rsidRPr="006518F1">
              <w:rPr>
                <w:rFonts w:cs="Arial"/>
              </w:rPr>
              <w:t xml:space="preserve"> </w:t>
            </w:r>
            <w:r w:rsidRPr="00055161">
              <w:rPr>
                <w:rFonts w:cs="Arial"/>
              </w:rPr>
              <w:t xml:space="preserve">must provide personalized, engaging </w:t>
            </w:r>
            <w:r>
              <w:rPr>
                <w:rFonts w:cs="Arial"/>
              </w:rPr>
              <w:t xml:space="preserve">wellness and disease management </w:t>
            </w:r>
            <w:r w:rsidRPr="00055161">
              <w:rPr>
                <w:rFonts w:cs="Arial"/>
              </w:rPr>
              <w:t xml:space="preserve">health coaching, by telephone and by secure electronic </w:t>
            </w:r>
            <w:r w:rsidRPr="00FB5E70">
              <w:rPr>
                <w:rFonts w:cs="Arial"/>
                <w:color w:val="000000"/>
              </w:rPr>
              <w:t xml:space="preserve">modalities accommodating the </w:t>
            </w:r>
            <w:r w:rsidR="00AE7E96">
              <w:rPr>
                <w:rFonts w:cs="Arial"/>
                <w:color w:val="000000"/>
              </w:rPr>
              <w:t>Member</w:t>
            </w:r>
            <w:r w:rsidRPr="00FB5E70">
              <w:rPr>
                <w:rFonts w:cs="Arial"/>
                <w:color w:val="000000"/>
              </w:rPr>
              <w:t xml:space="preserve">’s preferred means of communication. </w:t>
            </w:r>
          </w:p>
        </w:tc>
      </w:tr>
      <w:tr w:rsidR="00F57731" w14:paraId="51EA0975" w14:textId="77777777" w:rsidTr="0059128F">
        <w:tc>
          <w:tcPr>
            <w:tcW w:w="535" w:type="dxa"/>
          </w:tcPr>
          <w:p w14:paraId="5E77F8A5" w14:textId="416069E3" w:rsidR="00F57731" w:rsidRDefault="00F57731" w:rsidP="00F01E1A">
            <w:pPr>
              <w:pStyle w:val="ListParagraph"/>
              <w:numPr>
                <w:ilvl w:val="0"/>
                <w:numId w:val="64"/>
              </w:numPr>
            </w:pPr>
          </w:p>
        </w:tc>
        <w:tc>
          <w:tcPr>
            <w:tcW w:w="8815" w:type="dxa"/>
          </w:tcPr>
          <w:p w14:paraId="10DF68F8" w14:textId="7BEC7B31" w:rsidR="00E95330" w:rsidRDefault="00E95330" w:rsidP="005C3915">
            <w:pPr>
              <w:pStyle w:val="LRWLBodyText"/>
              <w:rPr>
                <w:rFonts w:cs="Arial"/>
              </w:rPr>
            </w:pPr>
            <w:r>
              <w:rPr>
                <w:rFonts w:cs="Arial"/>
              </w:rPr>
              <w:t xml:space="preserve">All health coaching provided by the </w:t>
            </w:r>
            <w:r w:rsidR="00A146AC">
              <w:rPr>
                <w:rFonts w:cs="Arial"/>
              </w:rPr>
              <w:t>Contractor</w:t>
            </w:r>
            <w:r>
              <w:rPr>
                <w:rFonts w:cs="Arial"/>
              </w:rPr>
              <w:t xml:space="preserve"> must:</w:t>
            </w:r>
          </w:p>
          <w:p w14:paraId="503E975A" w14:textId="1C6BF1CC" w:rsidR="007F1727" w:rsidRDefault="00E95330" w:rsidP="00F01E1A">
            <w:pPr>
              <w:pStyle w:val="LRWLBodyText"/>
              <w:numPr>
                <w:ilvl w:val="0"/>
                <w:numId w:val="33"/>
              </w:numPr>
              <w:rPr>
                <w:rFonts w:cs="Arial"/>
              </w:rPr>
            </w:pPr>
            <w:r>
              <w:rPr>
                <w:rFonts w:cs="Arial"/>
              </w:rPr>
              <w:t>B</w:t>
            </w:r>
            <w:r w:rsidR="007F1727">
              <w:rPr>
                <w:rFonts w:cs="Arial"/>
              </w:rPr>
              <w:t xml:space="preserve">e evidenced-based and reflect a comprehensive approach to help </w:t>
            </w:r>
            <w:r w:rsidR="00AE7E96">
              <w:rPr>
                <w:rFonts w:cs="Arial"/>
              </w:rPr>
              <w:t xml:space="preserve">Members </w:t>
            </w:r>
            <w:r w:rsidR="007F1727">
              <w:rPr>
                <w:rFonts w:cs="Arial"/>
              </w:rPr>
              <w:t>achieve lasting behavior change in order to reduce risk factors relate</w:t>
            </w:r>
            <w:r>
              <w:rPr>
                <w:rFonts w:cs="Arial"/>
              </w:rPr>
              <w:t xml:space="preserve">d to lifestyle or disease state; </w:t>
            </w:r>
          </w:p>
          <w:p w14:paraId="7066A2B8" w14:textId="0D8C6D94" w:rsidR="001D3E62" w:rsidRDefault="001D3E62" w:rsidP="00F01E1A">
            <w:pPr>
              <w:pStyle w:val="LRWLBodyText"/>
              <w:numPr>
                <w:ilvl w:val="0"/>
                <w:numId w:val="33"/>
              </w:numPr>
              <w:rPr>
                <w:rFonts w:cs="Arial"/>
              </w:rPr>
            </w:pPr>
            <w:r>
              <w:rPr>
                <w:rFonts w:cs="Arial"/>
              </w:rPr>
              <w:t>Be able to provide health coaching outcome data for wellness and disease management;</w:t>
            </w:r>
          </w:p>
          <w:p w14:paraId="00D61FFC" w14:textId="0E616E42" w:rsidR="00FB5E70" w:rsidRDefault="00E95330" w:rsidP="00F01E1A">
            <w:pPr>
              <w:pStyle w:val="LRWLBodyText"/>
              <w:numPr>
                <w:ilvl w:val="0"/>
                <w:numId w:val="33"/>
              </w:numPr>
              <w:rPr>
                <w:rFonts w:cs="Arial"/>
              </w:rPr>
            </w:pPr>
            <w:r>
              <w:rPr>
                <w:rFonts w:cs="Arial"/>
              </w:rPr>
              <w:lastRenderedPageBreak/>
              <w:t>Be available</w:t>
            </w:r>
            <w:r w:rsidR="00FB5E70" w:rsidRPr="006518F1">
              <w:rPr>
                <w:rFonts w:cs="Arial"/>
              </w:rPr>
              <w:t xml:space="preserve"> </w:t>
            </w:r>
            <w:r>
              <w:rPr>
                <w:rFonts w:cs="Arial"/>
              </w:rPr>
              <w:t xml:space="preserve">to </w:t>
            </w:r>
            <w:r w:rsidR="00AE7E96">
              <w:rPr>
                <w:rFonts w:cs="Arial"/>
              </w:rPr>
              <w:t>Members</w:t>
            </w:r>
            <w:r>
              <w:rPr>
                <w:rFonts w:cs="Arial"/>
              </w:rPr>
              <w:t xml:space="preserve"> </w:t>
            </w:r>
            <w:r w:rsidR="00FB5E70" w:rsidRPr="006518F1">
              <w:rPr>
                <w:rFonts w:cs="Arial"/>
              </w:rPr>
              <w:t>via a toll</w:t>
            </w:r>
            <w:r w:rsidR="00C914B2">
              <w:rPr>
                <w:rFonts w:cs="Arial"/>
              </w:rPr>
              <w:t>-</w:t>
            </w:r>
            <w:r w:rsidR="00FB5E70" w:rsidRPr="006518F1">
              <w:rPr>
                <w:rFonts w:cs="Arial"/>
              </w:rPr>
              <w:t>free number</w:t>
            </w:r>
            <w:r>
              <w:rPr>
                <w:rFonts w:cs="Arial"/>
              </w:rPr>
              <w:t xml:space="preserve"> and by secure electronic </w:t>
            </w:r>
            <w:r w:rsidRPr="00FB5E70">
              <w:rPr>
                <w:rFonts w:cs="Arial"/>
                <w:color w:val="000000"/>
              </w:rPr>
              <w:t xml:space="preserve">modalities accommodating the </w:t>
            </w:r>
            <w:r w:rsidR="00AE7E96">
              <w:rPr>
                <w:rFonts w:cs="Arial"/>
                <w:color w:val="000000"/>
              </w:rPr>
              <w:t>Member</w:t>
            </w:r>
            <w:r w:rsidR="00AE7E96" w:rsidRPr="00FB5E70">
              <w:rPr>
                <w:rFonts w:cs="Arial"/>
                <w:color w:val="000000"/>
              </w:rPr>
              <w:t xml:space="preserve">’s </w:t>
            </w:r>
            <w:r w:rsidRPr="00FB5E70">
              <w:rPr>
                <w:rFonts w:cs="Arial"/>
                <w:color w:val="000000"/>
              </w:rPr>
              <w:t>preferred means of communication</w:t>
            </w:r>
            <w:r w:rsidR="00964C6A">
              <w:rPr>
                <w:rFonts w:cs="Arial"/>
                <w:color w:val="000000"/>
              </w:rPr>
              <w:t>;</w:t>
            </w:r>
          </w:p>
          <w:p w14:paraId="635F3D2A" w14:textId="0982CACA" w:rsidR="00C94564" w:rsidRDefault="00E95330" w:rsidP="00F01E1A">
            <w:pPr>
              <w:pStyle w:val="LRWLBodyText"/>
              <w:numPr>
                <w:ilvl w:val="0"/>
                <w:numId w:val="33"/>
              </w:numPr>
              <w:rPr>
                <w:rFonts w:cs="Arial"/>
              </w:rPr>
            </w:pPr>
            <w:r>
              <w:rPr>
                <w:rFonts w:cs="Arial"/>
                <w:color w:val="000000"/>
              </w:rPr>
              <w:t>E</w:t>
            </w:r>
            <w:r w:rsidR="00C94564" w:rsidRPr="00FB5E70">
              <w:rPr>
                <w:rFonts w:cs="Arial"/>
                <w:color w:val="000000"/>
              </w:rPr>
              <w:t>nsure</w:t>
            </w:r>
            <w:r w:rsidR="00C94564" w:rsidRPr="00055161">
              <w:rPr>
                <w:rFonts w:cs="Arial"/>
              </w:rPr>
              <w:t xml:space="preserve"> that all electronic correspondence is secure and meets</w:t>
            </w:r>
            <w:r w:rsidR="009722FC">
              <w:rPr>
                <w:rFonts w:cs="Arial"/>
              </w:rPr>
              <w:t xml:space="preserve"> the</w:t>
            </w:r>
            <w:r w:rsidR="00C94564" w:rsidRPr="00055161">
              <w:rPr>
                <w:rFonts w:cs="Arial"/>
              </w:rPr>
              <w:t xml:space="preserve"> privacy and confidentiality requirements</w:t>
            </w:r>
            <w:r w:rsidR="00C94564">
              <w:rPr>
                <w:rFonts w:cs="Arial"/>
              </w:rPr>
              <w:t xml:space="preserve"> set forth in the </w:t>
            </w:r>
            <w:r w:rsidR="009722FC">
              <w:rPr>
                <w:rFonts w:cs="Arial"/>
              </w:rPr>
              <w:t>Contract</w:t>
            </w:r>
            <w:r w:rsidR="00C94564">
              <w:rPr>
                <w:rFonts w:cs="Arial"/>
              </w:rPr>
              <w:t xml:space="preserve"> Terms and Conditions</w:t>
            </w:r>
            <w:r w:rsidR="005C3915">
              <w:rPr>
                <w:rFonts w:cs="Arial"/>
              </w:rPr>
              <w:t>;</w:t>
            </w:r>
          </w:p>
          <w:p w14:paraId="148946F9" w14:textId="4105255D" w:rsidR="00E95330" w:rsidRDefault="00964C6A" w:rsidP="00F01E1A">
            <w:pPr>
              <w:pStyle w:val="LRWLBodyText"/>
              <w:numPr>
                <w:ilvl w:val="0"/>
                <w:numId w:val="33"/>
              </w:numPr>
              <w:rPr>
                <w:rFonts w:cs="Arial"/>
              </w:rPr>
            </w:pPr>
            <w:r>
              <w:rPr>
                <w:rFonts w:cs="Arial"/>
              </w:rPr>
              <w:t xml:space="preserve">Provide </w:t>
            </w:r>
            <w:r w:rsidR="00E95330">
              <w:rPr>
                <w:rFonts w:cs="Arial"/>
              </w:rPr>
              <w:t>health coaching s</w:t>
            </w:r>
            <w:r w:rsidR="00E95330" w:rsidRPr="006518F1">
              <w:rPr>
                <w:rFonts w:cs="Arial"/>
              </w:rPr>
              <w:t xml:space="preserve">essions, at a minimum, between </w:t>
            </w:r>
            <w:r w:rsidR="00E95330">
              <w:rPr>
                <w:rFonts w:cs="Arial"/>
              </w:rPr>
              <w:t>8</w:t>
            </w:r>
            <w:r w:rsidR="00E95330" w:rsidRPr="006518F1">
              <w:rPr>
                <w:rFonts w:cs="Arial"/>
              </w:rPr>
              <w:t xml:space="preserve">:00 a.m. and </w:t>
            </w:r>
            <w:r w:rsidR="00E95330">
              <w:rPr>
                <w:rFonts w:cs="Arial"/>
              </w:rPr>
              <w:t>7</w:t>
            </w:r>
            <w:r w:rsidR="00E95330" w:rsidRPr="006518F1">
              <w:rPr>
                <w:rFonts w:cs="Arial"/>
              </w:rPr>
              <w:t>:00 p.m. CST</w:t>
            </w:r>
            <w:r w:rsidR="00AD34CD">
              <w:rPr>
                <w:rFonts w:cs="Arial"/>
              </w:rPr>
              <w:t>/CDT</w:t>
            </w:r>
            <w:r w:rsidR="00E95330" w:rsidRPr="006518F1">
              <w:rPr>
                <w:rFonts w:cs="Arial"/>
              </w:rPr>
              <w:t xml:space="preserve"> Monday through Friday, and from 8:00 a.m. and 12:00 p.m. CST</w:t>
            </w:r>
            <w:r w:rsidR="00AD34CD">
              <w:rPr>
                <w:rFonts w:cs="Arial"/>
              </w:rPr>
              <w:t>/CDT</w:t>
            </w:r>
            <w:r w:rsidR="00E95330" w:rsidRPr="006518F1">
              <w:rPr>
                <w:rFonts w:cs="Arial"/>
              </w:rPr>
              <w:t xml:space="preserve"> on Saturdays</w:t>
            </w:r>
            <w:r w:rsidR="005C3915">
              <w:rPr>
                <w:rFonts w:cs="Arial"/>
              </w:rPr>
              <w:t>;</w:t>
            </w:r>
          </w:p>
          <w:p w14:paraId="4320097A" w14:textId="179D8AE0" w:rsidR="00964C6A" w:rsidRPr="005C3915" w:rsidRDefault="00964C6A" w:rsidP="00F01E1A">
            <w:pPr>
              <w:pStyle w:val="ListParagraph"/>
              <w:numPr>
                <w:ilvl w:val="0"/>
                <w:numId w:val="33"/>
              </w:numPr>
              <w:rPr>
                <w:rFonts w:eastAsia="Times New Roman" w:cs="Arial"/>
                <w:caps w:val="0"/>
                <w:noProof w:val="0"/>
              </w:rPr>
            </w:pPr>
            <w:r>
              <w:rPr>
                <w:rFonts w:eastAsia="Times New Roman" w:cs="Arial"/>
                <w:caps w:val="0"/>
                <w:noProof w:val="0"/>
              </w:rPr>
              <w:t>P</w:t>
            </w:r>
            <w:r w:rsidRPr="00964C6A">
              <w:rPr>
                <w:rFonts w:eastAsia="Times New Roman" w:cs="Arial"/>
                <w:caps w:val="0"/>
                <w:noProof w:val="0"/>
              </w:rPr>
              <w:t xml:space="preserve">rovide </w:t>
            </w:r>
            <w:r>
              <w:rPr>
                <w:rFonts w:eastAsia="Times New Roman" w:cs="Arial"/>
                <w:caps w:val="0"/>
                <w:noProof w:val="0"/>
              </w:rPr>
              <w:t xml:space="preserve">all Participants with </w:t>
            </w:r>
            <w:r w:rsidRPr="00964C6A">
              <w:rPr>
                <w:rFonts w:eastAsia="Times New Roman" w:cs="Arial"/>
                <w:caps w:val="0"/>
                <w:noProof w:val="0"/>
              </w:rPr>
              <w:t xml:space="preserve">information on the availability of health coaching services as part of the health risk assessment results summary, regardless of risk factors, and encouraged to participate. </w:t>
            </w:r>
            <w:r w:rsidR="00AE7E96">
              <w:rPr>
                <w:rFonts w:eastAsia="Times New Roman" w:cs="Arial"/>
                <w:noProof w:val="0"/>
              </w:rPr>
              <w:t>M</w:t>
            </w:r>
            <w:r w:rsidR="00AE7E96">
              <w:rPr>
                <w:rFonts w:eastAsia="Times New Roman" w:cs="Arial"/>
                <w:caps w:val="0"/>
                <w:noProof w:val="0"/>
              </w:rPr>
              <w:t>embers</w:t>
            </w:r>
            <w:r w:rsidR="00AE7E96" w:rsidRPr="00964C6A">
              <w:rPr>
                <w:rFonts w:eastAsia="Times New Roman" w:cs="Arial"/>
                <w:caps w:val="0"/>
                <w:noProof w:val="0"/>
              </w:rPr>
              <w:t xml:space="preserve"> </w:t>
            </w:r>
            <w:r w:rsidRPr="00964C6A">
              <w:rPr>
                <w:rFonts w:eastAsia="Times New Roman" w:cs="Arial"/>
                <w:caps w:val="0"/>
                <w:noProof w:val="0"/>
              </w:rPr>
              <w:t>must also be able to access health coaching services prior to completion of the program requirements</w:t>
            </w:r>
            <w:r w:rsidR="005C3915">
              <w:rPr>
                <w:rFonts w:eastAsia="Times New Roman" w:cs="Arial"/>
                <w:caps w:val="0"/>
                <w:noProof w:val="0"/>
              </w:rPr>
              <w:t>;</w:t>
            </w:r>
          </w:p>
          <w:p w14:paraId="6D12FFCD" w14:textId="027DB7C7" w:rsidR="00F26D20" w:rsidRDefault="00AE7E96" w:rsidP="00F01E1A">
            <w:pPr>
              <w:pStyle w:val="LRWLBodyText"/>
              <w:numPr>
                <w:ilvl w:val="0"/>
                <w:numId w:val="33"/>
              </w:numPr>
              <w:rPr>
                <w:rFonts w:cs="Arial"/>
              </w:rPr>
            </w:pPr>
            <w:r>
              <w:rPr>
                <w:rFonts w:cs="Arial"/>
              </w:rPr>
              <w:t xml:space="preserve">Member </w:t>
            </w:r>
            <w:r w:rsidR="00F26D20" w:rsidRPr="003B72B4">
              <w:rPr>
                <w:rFonts w:cs="Arial"/>
              </w:rPr>
              <w:t>coaching enrollment will be voluntary and sessions per individual will be unlimited</w:t>
            </w:r>
            <w:r w:rsidR="00D70269">
              <w:rPr>
                <w:rFonts w:cs="Arial"/>
              </w:rPr>
              <w:t xml:space="preserve"> (un</w:t>
            </w:r>
            <w:r w:rsidR="004B5F57">
              <w:rPr>
                <w:rFonts w:cs="Arial"/>
              </w:rPr>
              <w:t xml:space="preserve">less otherwise approved by ETF); </w:t>
            </w:r>
            <w:r w:rsidR="00F26D20" w:rsidRPr="006518F1">
              <w:rPr>
                <w:rFonts w:cs="Arial"/>
              </w:rPr>
              <w:t xml:space="preserve"> </w:t>
            </w:r>
          </w:p>
          <w:p w14:paraId="3856B209" w14:textId="18B9E544" w:rsidR="00F26D20" w:rsidRDefault="00F26D20" w:rsidP="00F01E1A">
            <w:pPr>
              <w:pStyle w:val="LRWLBodyText"/>
              <w:numPr>
                <w:ilvl w:val="0"/>
                <w:numId w:val="33"/>
              </w:numPr>
              <w:rPr>
                <w:rFonts w:cs="Arial"/>
              </w:rPr>
            </w:pPr>
            <w:r w:rsidRPr="00055161">
              <w:rPr>
                <w:rFonts w:cs="Arial"/>
              </w:rPr>
              <w:t xml:space="preserve">The </w:t>
            </w:r>
            <w:r w:rsidR="00A146AC">
              <w:rPr>
                <w:rFonts w:cs="Arial"/>
              </w:rPr>
              <w:t>Contractor</w:t>
            </w:r>
            <w:r>
              <w:rPr>
                <w:rFonts w:cs="Arial"/>
              </w:rPr>
              <w:t xml:space="preserve">’s health </w:t>
            </w:r>
            <w:r w:rsidRPr="00055161">
              <w:rPr>
                <w:rFonts w:cs="Arial"/>
              </w:rPr>
              <w:t xml:space="preserve">coaches </w:t>
            </w:r>
            <w:r>
              <w:rPr>
                <w:rFonts w:cs="Arial"/>
              </w:rPr>
              <w:t>must</w:t>
            </w:r>
            <w:r w:rsidRPr="00055161">
              <w:rPr>
                <w:rFonts w:cs="Arial"/>
              </w:rPr>
              <w:t xml:space="preserve"> work with </w:t>
            </w:r>
            <w:r w:rsidR="00AE7E96">
              <w:rPr>
                <w:rFonts w:cs="Arial"/>
              </w:rPr>
              <w:t>Member</w:t>
            </w:r>
            <w:r w:rsidR="00AE7E96" w:rsidRPr="00055161">
              <w:rPr>
                <w:rFonts w:cs="Arial"/>
              </w:rPr>
              <w:t xml:space="preserve">s </w:t>
            </w:r>
            <w:r w:rsidRPr="00055161">
              <w:rPr>
                <w:rFonts w:cs="Arial"/>
              </w:rPr>
              <w:t>to establish a</w:t>
            </w:r>
            <w:r>
              <w:rPr>
                <w:rFonts w:cs="Arial"/>
              </w:rPr>
              <w:t xml:space="preserve">n individualized </w:t>
            </w:r>
            <w:r w:rsidRPr="00055161">
              <w:rPr>
                <w:rFonts w:cs="Arial"/>
              </w:rPr>
              <w:t>plan</w:t>
            </w:r>
            <w:r>
              <w:rPr>
                <w:rFonts w:cs="Arial"/>
              </w:rPr>
              <w:t xml:space="preserve"> and define achievable</w:t>
            </w:r>
            <w:r w:rsidRPr="00055161">
              <w:rPr>
                <w:rFonts w:cs="Arial"/>
              </w:rPr>
              <w:t xml:space="preserve"> goals</w:t>
            </w:r>
            <w:r w:rsidR="00344E66">
              <w:rPr>
                <w:rFonts w:cs="Arial"/>
              </w:rPr>
              <w:t xml:space="preserve"> that can be maintained on an ongoing basis</w:t>
            </w:r>
            <w:r w:rsidR="004B5F57">
              <w:rPr>
                <w:rFonts w:cs="Arial"/>
              </w:rPr>
              <w:t>;</w:t>
            </w:r>
          </w:p>
          <w:p w14:paraId="0C93967D" w14:textId="5F082BED" w:rsidR="00F72165" w:rsidRDefault="00AE7E96" w:rsidP="00F01E1A">
            <w:pPr>
              <w:pStyle w:val="LRWLBodyText"/>
              <w:numPr>
                <w:ilvl w:val="0"/>
                <w:numId w:val="33"/>
              </w:numPr>
              <w:rPr>
                <w:rFonts w:cs="Arial"/>
              </w:rPr>
            </w:pPr>
            <w:r>
              <w:rPr>
                <w:rFonts w:cs="Arial"/>
              </w:rPr>
              <w:t xml:space="preserve">Members </w:t>
            </w:r>
            <w:r w:rsidR="00F72165">
              <w:rPr>
                <w:rFonts w:cs="Arial"/>
              </w:rPr>
              <w:t xml:space="preserve">must be able to </w:t>
            </w:r>
            <w:r w:rsidR="00F42561">
              <w:rPr>
                <w:rFonts w:cs="Arial"/>
              </w:rPr>
              <w:t xml:space="preserve">retain a specific </w:t>
            </w:r>
            <w:r w:rsidR="00F72165">
              <w:rPr>
                <w:rFonts w:cs="Arial"/>
              </w:rPr>
              <w:t xml:space="preserve">coach </w:t>
            </w:r>
            <w:r w:rsidR="00F42561">
              <w:rPr>
                <w:rFonts w:cs="Arial"/>
              </w:rPr>
              <w:t>for future coaching session</w:t>
            </w:r>
            <w:r w:rsidR="00F26D20">
              <w:rPr>
                <w:rFonts w:cs="Arial"/>
              </w:rPr>
              <w:t>s</w:t>
            </w:r>
            <w:r w:rsidR="00F42561">
              <w:rPr>
                <w:rFonts w:cs="Arial"/>
              </w:rPr>
              <w:t xml:space="preserve"> and</w:t>
            </w:r>
            <w:r w:rsidR="00F72165">
              <w:rPr>
                <w:rFonts w:cs="Arial"/>
              </w:rPr>
              <w:t xml:space="preserve"> must be able to change coaches i</w:t>
            </w:r>
            <w:r w:rsidR="006F2ACB">
              <w:rPr>
                <w:rFonts w:cs="Arial"/>
              </w:rPr>
              <w:t>f</w:t>
            </w:r>
            <w:r w:rsidR="00F72165">
              <w:rPr>
                <w:rFonts w:cs="Arial"/>
              </w:rPr>
              <w:t xml:space="preserve"> they are not satisfied</w:t>
            </w:r>
            <w:r w:rsidR="00F26D20">
              <w:rPr>
                <w:rFonts w:cs="Arial"/>
              </w:rPr>
              <w:t xml:space="preserve"> with their current coach</w:t>
            </w:r>
            <w:r w:rsidR="004B5F57">
              <w:rPr>
                <w:rFonts w:cs="Arial"/>
              </w:rPr>
              <w:t>;</w:t>
            </w:r>
          </w:p>
          <w:p w14:paraId="21F2C73D" w14:textId="77777777" w:rsidR="004B5F57" w:rsidRDefault="00344E66" w:rsidP="004B5F57">
            <w:pPr>
              <w:pStyle w:val="LRWLBodyText"/>
              <w:numPr>
                <w:ilvl w:val="0"/>
                <w:numId w:val="33"/>
              </w:numPr>
              <w:rPr>
                <w:rFonts w:cs="Arial"/>
              </w:rPr>
            </w:pPr>
            <w:r w:rsidRPr="00206C44">
              <w:rPr>
                <w:rFonts w:cs="Arial"/>
              </w:rPr>
              <w:t xml:space="preserve">Health coaching must help </w:t>
            </w:r>
            <w:r w:rsidR="00AE7E96">
              <w:rPr>
                <w:rFonts w:cs="Arial"/>
              </w:rPr>
              <w:t>Member</w:t>
            </w:r>
            <w:r w:rsidR="00AE7E96" w:rsidRPr="00206C44">
              <w:rPr>
                <w:rFonts w:cs="Arial"/>
              </w:rPr>
              <w:t xml:space="preserve">s </w:t>
            </w:r>
            <w:r w:rsidRPr="00206C44">
              <w:rPr>
                <w:rFonts w:cs="Arial"/>
              </w:rPr>
              <w:t xml:space="preserve">take advantage of the full range of resources </w:t>
            </w:r>
            <w:r w:rsidRPr="00C639C6">
              <w:rPr>
                <w:rFonts w:cs="Arial"/>
              </w:rPr>
              <w:t>available</w:t>
            </w:r>
            <w:r w:rsidRPr="00AB728A">
              <w:rPr>
                <w:rFonts w:cs="Arial"/>
              </w:rPr>
              <w:t xml:space="preserve"> through the </w:t>
            </w:r>
            <w:r w:rsidR="00A146AC">
              <w:rPr>
                <w:rFonts w:cs="Arial"/>
              </w:rPr>
              <w:t>Contractor</w:t>
            </w:r>
            <w:r w:rsidRPr="00AB728A">
              <w:rPr>
                <w:rFonts w:cs="Arial"/>
              </w:rPr>
              <w:t>, as well as health</w:t>
            </w:r>
            <w:r w:rsidR="004B5F57">
              <w:rPr>
                <w:rFonts w:cs="Arial"/>
              </w:rPr>
              <w:t xml:space="preserve"> plans and community resources;</w:t>
            </w:r>
          </w:p>
          <w:p w14:paraId="3B8AABB5" w14:textId="68DDD9A0" w:rsidR="00B05C46" w:rsidRPr="006518F1" w:rsidRDefault="00AE7E96" w:rsidP="004B5F57">
            <w:pPr>
              <w:pStyle w:val="LRWLBodyText"/>
              <w:numPr>
                <w:ilvl w:val="0"/>
                <w:numId w:val="33"/>
              </w:numPr>
              <w:rPr>
                <w:rFonts w:cs="Arial"/>
              </w:rPr>
            </w:pPr>
            <w:r>
              <w:rPr>
                <w:rFonts w:cs="Arial"/>
              </w:rPr>
              <w:t>Members</w:t>
            </w:r>
            <w:r w:rsidRPr="00206C44">
              <w:rPr>
                <w:rFonts w:cs="Arial"/>
              </w:rPr>
              <w:t xml:space="preserve"> </w:t>
            </w:r>
            <w:r w:rsidR="00110119" w:rsidRPr="00206C44">
              <w:rPr>
                <w:rFonts w:cs="Arial"/>
              </w:rPr>
              <w:t>utilizing health coaching must receive a satisfaction survey at the end of every coaching session. The</w:t>
            </w:r>
            <w:r w:rsidR="00110119" w:rsidRPr="00206C44">
              <w:rPr>
                <w:rFonts w:cs="Arial"/>
                <w:color w:val="000000"/>
              </w:rPr>
              <w:t xml:space="preserve"> surveys must use a five (5)-point rating scale and content must be approved by the ETF Program Manager prior to distribution.</w:t>
            </w:r>
          </w:p>
        </w:tc>
      </w:tr>
      <w:tr w:rsidR="00110119" w14:paraId="6BB509CF" w14:textId="77777777" w:rsidTr="0059128F">
        <w:tc>
          <w:tcPr>
            <w:tcW w:w="535" w:type="dxa"/>
          </w:tcPr>
          <w:p w14:paraId="22B6A581" w14:textId="79D22927" w:rsidR="00110119" w:rsidRDefault="00110119" w:rsidP="00F01E1A">
            <w:pPr>
              <w:pStyle w:val="ListParagraph"/>
              <w:numPr>
                <w:ilvl w:val="0"/>
                <w:numId w:val="64"/>
              </w:numPr>
            </w:pPr>
          </w:p>
        </w:tc>
        <w:tc>
          <w:tcPr>
            <w:tcW w:w="8815" w:type="dxa"/>
            <w:vAlign w:val="bottom"/>
          </w:tcPr>
          <w:p w14:paraId="53F7FD16" w14:textId="6981826F" w:rsidR="00110119" w:rsidRDefault="00110119" w:rsidP="00AE7E96">
            <w:pPr>
              <w:pStyle w:val="LRWLBodyText"/>
              <w:rPr>
                <w:rFonts w:cs="Arial"/>
              </w:rPr>
            </w:pPr>
            <w:r>
              <w:rPr>
                <w:rFonts w:cs="Arial"/>
              </w:rPr>
              <w:t xml:space="preserve">The </w:t>
            </w:r>
            <w:r w:rsidR="00A146AC">
              <w:rPr>
                <w:rFonts w:cs="Arial"/>
              </w:rPr>
              <w:t>Contractor</w:t>
            </w:r>
            <w:r>
              <w:rPr>
                <w:rFonts w:cs="Arial"/>
              </w:rPr>
              <w:t xml:space="preserve"> must not utilize </w:t>
            </w:r>
            <w:proofErr w:type="spellStart"/>
            <w:r>
              <w:rPr>
                <w:rFonts w:cs="Arial"/>
              </w:rPr>
              <w:t>robocalls</w:t>
            </w:r>
            <w:proofErr w:type="spellEnd"/>
            <w:r>
              <w:rPr>
                <w:rFonts w:cs="Arial"/>
              </w:rPr>
              <w:t xml:space="preserve"> to offer </w:t>
            </w:r>
            <w:r w:rsidR="00A146AC">
              <w:rPr>
                <w:rFonts w:cs="Arial"/>
              </w:rPr>
              <w:t>Contractor</w:t>
            </w:r>
            <w:r>
              <w:rPr>
                <w:rFonts w:cs="Arial"/>
              </w:rPr>
              <w:t xml:space="preserve"> services to </w:t>
            </w:r>
            <w:r w:rsidR="00AE7E96">
              <w:rPr>
                <w:rFonts w:cs="Arial"/>
              </w:rPr>
              <w:t>Members</w:t>
            </w:r>
            <w:r>
              <w:rPr>
                <w:rFonts w:cs="Arial"/>
              </w:rPr>
              <w:t xml:space="preserve">, unless prior approval is received from ETF as part of the Annual </w:t>
            </w:r>
            <w:r w:rsidRPr="006518F1">
              <w:rPr>
                <w:rFonts w:cs="Arial"/>
                <w:color w:val="000000"/>
              </w:rPr>
              <w:t>Promotion and Communication Plan</w:t>
            </w:r>
            <w:r>
              <w:rPr>
                <w:rFonts w:cs="Arial"/>
                <w:color w:val="000000"/>
              </w:rPr>
              <w:t>.</w:t>
            </w:r>
          </w:p>
        </w:tc>
      </w:tr>
      <w:tr w:rsidR="003D53E3" w14:paraId="408D6ACD" w14:textId="77777777" w:rsidTr="0059128F">
        <w:tc>
          <w:tcPr>
            <w:tcW w:w="535" w:type="dxa"/>
          </w:tcPr>
          <w:p w14:paraId="01C350FC" w14:textId="77777777" w:rsidR="003D53E3" w:rsidRDefault="003D53E3" w:rsidP="00F01E1A">
            <w:pPr>
              <w:pStyle w:val="ListParagraph"/>
              <w:numPr>
                <w:ilvl w:val="0"/>
                <w:numId w:val="64"/>
              </w:numPr>
            </w:pPr>
          </w:p>
        </w:tc>
        <w:tc>
          <w:tcPr>
            <w:tcW w:w="8815" w:type="dxa"/>
            <w:vAlign w:val="bottom"/>
          </w:tcPr>
          <w:p w14:paraId="3D0694F6" w14:textId="0DE9B657" w:rsidR="003D53E3" w:rsidRDefault="003D53E3" w:rsidP="00110119">
            <w:pPr>
              <w:pStyle w:val="LRWLBodyText"/>
              <w:rPr>
                <w:rFonts w:cs="Arial"/>
              </w:rPr>
            </w:pPr>
            <w:r w:rsidRPr="006518F1">
              <w:rPr>
                <w:rFonts w:cs="Arial"/>
              </w:rPr>
              <w:t xml:space="preserve">All </w:t>
            </w:r>
            <w:r>
              <w:rPr>
                <w:rFonts w:cs="Arial"/>
              </w:rPr>
              <w:t xml:space="preserve">health </w:t>
            </w:r>
            <w:r w:rsidRPr="006518F1">
              <w:rPr>
                <w:rFonts w:cs="Arial"/>
              </w:rPr>
              <w:t>coaches</w:t>
            </w:r>
            <w:r>
              <w:rPr>
                <w:rFonts w:cs="Arial"/>
              </w:rPr>
              <w:t xml:space="preserve"> for the wellness program</w:t>
            </w:r>
            <w:r w:rsidRPr="006518F1">
              <w:rPr>
                <w:rFonts w:cs="Arial"/>
              </w:rPr>
              <w:t xml:space="preserve"> must be certified </w:t>
            </w:r>
            <w:r>
              <w:rPr>
                <w:rFonts w:cs="Arial"/>
              </w:rPr>
              <w:t xml:space="preserve">by one or more nationally recognized credentialing bodies, </w:t>
            </w:r>
            <w:r w:rsidRPr="006518F1">
              <w:rPr>
                <w:rFonts w:cs="Arial"/>
              </w:rPr>
              <w:t xml:space="preserve">have a minimum of </w:t>
            </w:r>
            <w:r>
              <w:rPr>
                <w:rFonts w:cs="Arial"/>
              </w:rPr>
              <w:t>one (</w:t>
            </w:r>
            <w:r w:rsidRPr="006518F1">
              <w:rPr>
                <w:rFonts w:cs="Arial"/>
              </w:rPr>
              <w:t>1</w:t>
            </w:r>
            <w:r>
              <w:rPr>
                <w:rFonts w:cs="Arial"/>
              </w:rPr>
              <w:t>)</w:t>
            </w:r>
            <w:r w:rsidRPr="006518F1">
              <w:rPr>
                <w:rFonts w:cs="Arial"/>
              </w:rPr>
              <w:t xml:space="preserve"> year experience in </w:t>
            </w:r>
            <w:r>
              <w:rPr>
                <w:rFonts w:cs="Arial"/>
              </w:rPr>
              <w:t xml:space="preserve">health </w:t>
            </w:r>
            <w:r w:rsidRPr="006518F1">
              <w:rPr>
                <w:rFonts w:cs="Arial"/>
              </w:rPr>
              <w:t>coaching</w:t>
            </w:r>
            <w:r>
              <w:rPr>
                <w:rFonts w:cs="Arial"/>
              </w:rPr>
              <w:t>, and be provided with on-going education and training</w:t>
            </w:r>
            <w:r w:rsidRPr="006518F1">
              <w:rPr>
                <w:rFonts w:cs="Arial"/>
              </w:rPr>
              <w:t>.</w:t>
            </w:r>
          </w:p>
        </w:tc>
      </w:tr>
      <w:tr w:rsidR="00D70269" w14:paraId="754A1113" w14:textId="77777777" w:rsidTr="0059128F">
        <w:tc>
          <w:tcPr>
            <w:tcW w:w="535" w:type="dxa"/>
          </w:tcPr>
          <w:p w14:paraId="396BEB01" w14:textId="77777777" w:rsidR="00D70269" w:rsidRDefault="00D70269" w:rsidP="00F01E1A">
            <w:pPr>
              <w:pStyle w:val="ListParagraph"/>
              <w:numPr>
                <w:ilvl w:val="0"/>
                <w:numId w:val="64"/>
              </w:numPr>
            </w:pPr>
          </w:p>
        </w:tc>
        <w:tc>
          <w:tcPr>
            <w:tcW w:w="8815" w:type="dxa"/>
            <w:vAlign w:val="bottom"/>
          </w:tcPr>
          <w:p w14:paraId="7C236797" w14:textId="42BBF6F2" w:rsidR="00D70269" w:rsidRDefault="00D70269" w:rsidP="003D53E3">
            <w:pPr>
              <w:pStyle w:val="LRWLBodyText"/>
              <w:rPr>
                <w:rFonts w:cs="Arial"/>
              </w:rPr>
            </w:pPr>
            <w:r>
              <w:rPr>
                <w:rFonts w:cs="Arial"/>
              </w:rPr>
              <w:t>Wellness coaching must be offered for a wide range of risk factors related, but not limited to: nutrition, physical activity, sleep, stress, tobacco use, excessive alcohol use, and medication adherence.</w:t>
            </w:r>
          </w:p>
        </w:tc>
      </w:tr>
      <w:tr w:rsidR="003D53E3" w14:paraId="324FA6BF" w14:textId="77777777" w:rsidTr="0059128F">
        <w:tc>
          <w:tcPr>
            <w:tcW w:w="535" w:type="dxa"/>
          </w:tcPr>
          <w:p w14:paraId="70754516" w14:textId="77777777" w:rsidR="003D53E3" w:rsidRDefault="003D53E3" w:rsidP="00F01E1A">
            <w:pPr>
              <w:pStyle w:val="ListParagraph"/>
              <w:numPr>
                <w:ilvl w:val="0"/>
                <w:numId w:val="64"/>
              </w:numPr>
            </w:pPr>
          </w:p>
        </w:tc>
        <w:tc>
          <w:tcPr>
            <w:tcW w:w="8815" w:type="dxa"/>
            <w:vAlign w:val="bottom"/>
          </w:tcPr>
          <w:p w14:paraId="5DE84298" w14:textId="1FEF126B" w:rsidR="003D53E3" w:rsidRPr="003D53E3" w:rsidRDefault="003D53E3" w:rsidP="00AE7E96">
            <w:pPr>
              <w:pStyle w:val="LRWLBodyText"/>
              <w:rPr>
                <w:rFonts w:cs="Arial"/>
              </w:rPr>
            </w:pPr>
            <w:r>
              <w:rPr>
                <w:rFonts w:cs="Arial"/>
              </w:rPr>
              <w:t xml:space="preserve">The </w:t>
            </w:r>
            <w:r w:rsidR="00A146AC">
              <w:rPr>
                <w:rFonts w:cs="Arial"/>
              </w:rPr>
              <w:t>Contractor</w:t>
            </w:r>
            <w:r>
              <w:rPr>
                <w:rFonts w:cs="Arial"/>
              </w:rPr>
              <w:t xml:space="preserve"> must provide a minimum of one hundred (100) hours of onsite wellness health coaching, at events and locations identified and approved by the ETF Program Manager</w:t>
            </w:r>
            <w:r w:rsidR="00170679">
              <w:rPr>
                <w:rFonts w:cs="Arial"/>
              </w:rPr>
              <w:t xml:space="preserve"> each Contract year</w:t>
            </w:r>
            <w:r>
              <w:rPr>
                <w:rFonts w:cs="Arial"/>
              </w:rPr>
              <w:t xml:space="preserve">. Onsite health coaching must meet the same general criteria for </w:t>
            </w:r>
            <w:r w:rsidR="004B5F57">
              <w:rPr>
                <w:rFonts w:cs="Arial"/>
              </w:rPr>
              <w:t>evidence</w:t>
            </w:r>
            <w:r w:rsidRPr="00110119">
              <w:rPr>
                <w:rFonts w:cs="Arial"/>
              </w:rPr>
              <w:t xml:space="preserve">-based </w:t>
            </w:r>
            <w:r>
              <w:rPr>
                <w:rFonts w:cs="Arial"/>
              </w:rPr>
              <w:t xml:space="preserve">coaching </w:t>
            </w:r>
            <w:r w:rsidR="00533C95">
              <w:rPr>
                <w:rFonts w:cs="Arial"/>
              </w:rPr>
              <w:t xml:space="preserve">and be </w:t>
            </w:r>
            <w:r>
              <w:rPr>
                <w:rFonts w:cs="Arial"/>
              </w:rPr>
              <w:t>provided by qualified coaches as detailed in Section</w:t>
            </w:r>
            <w:r w:rsidR="00533C95">
              <w:rPr>
                <w:rFonts w:cs="Arial"/>
              </w:rPr>
              <w:t>s</w:t>
            </w:r>
            <w:r>
              <w:rPr>
                <w:rFonts w:cs="Arial"/>
              </w:rPr>
              <w:t xml:space="preserve"> 5.7 D and </w:t>
            </w:r>
            <w:r w:rsidR="00533C95">
              <w:rPr>
                <w:rFonts w:cs="Arial"/>
              </w:rPr>
              <w:t xml:space="preserve">5.7 </w:t>
            </w:r>
            <w:r>
              <w:rPr>
                <w:rFonts w:cs="Arial"/>
              </w:rPr>
              <w:t xml:space="preserve">F. Onsite coaches must be able to address a variety of risk areas and have a process for referring </w:t>
            </w:r>
            <w:r w:rsidR="00AE7E96">
              <w:rPr>
                <w:rFonts w:cs="Arial"/>
              </w:rPr>
              <w:t xml:space="preserve">Members </w:t>
            </w:r>
            <w:r>
              <w:rPr>
                <w:rFonts w:cs="Arial"/>
              </w:rPr>
              <w:t xml:space="preserve">to additional </w:t>
            </w:r>
            <w:r w:rsidR="001D3E62">
              <w:rPr>
                <w:rFonts w:cs="Arial"/>
              </w:rPr>
              <w:t xml:space="preserve">resources and </w:t>
            </w:r>
            <w:r w:rsidR="00A146AC">
              <w:rPr>
                <w:rFonts w:cs="Arial"/>
              </w:rPr>
              <w:t>Contractor</w:t>
            </w:r>
            <w:r>
              <w:rPr>
                <w:rFonts w:cs="Arial"/>
              </w:rPr>
              <w:t xml:space="preserve"> disease management programs. Onsite coaching must be tracked for utilization and measured for effectiveness.</w:t>
            </w:r>
          </w:p>
        </w:tc>
      </w:tr>
      <w:tr w:rsidR="00161628" w14:paraId="2D09710D" w14:textId="77777777" w:rsidTr="0059128F">
        <w:tc>
          <w:tcPr>
            <w:tcW w:w="535" w:type="dxa"/>
          </w:tcPr>
          <w:p w14:paraId="56C16C7E" w14:textId="77777777" w:rsidR="00161628" w:rsidRDefault="00161628" w:rsidP="00F01E1A">
            <w:pPr>
              <w:pStyle w:val="ListParagraph"/>
              <w:numPr>
                <w:ilvl w:val="0"/>
                <w:numId w:val="64"/>
              </w:numPr>
            </w:pPr>
          </w:p>
        </w:tc>
        <w:tc>
          <w:tcPr>
            <w:tcW w:w="8815" w:type="dxa"/>
            <w:vAlign w:val="bottom"/>
          </w:tcPr>
          <w:p w14:paraId="556C0BB1" w14:textId="5764D835" w:rsidR="00161628" w:rsidRPr="003D53E3" w:rsidRDefault="00161628">
            <w:pPr>
              <w:pStyle w:val="LRWLBodyText"/>
              <w:rPr>
                <w:rFonts w:cs="Arial"/>
              </w:rPr>
            </w:pPr>
            <w:r w:rsidRPr="00EA4AD7">
              <w:rPr>
                <w:rFonts w:cs="Arial"/>
              </w:rPr>
              <w:t xml:space="preserve">The </w:t>
            </w:r>
            <w:r w:rsidR="00A146AC">
              <w:rPr>
                <w:rFonts w:cs="Arial"/>
              </w:rPr>
              <w:t>Contractor</w:t>
            </w:r>
            <w:r w:rsidRPr="00EA4AD7">
              <w:rPr>
                <w:rFonts w:cs="Arial"/>
              </w:rPr>
              <w:t xml:space="preserve"> must be able to provide disease management programs</w:t>
            </w:r>
            <w:r>
              <w:rPr>
                <w:rFonts w:cs="Arial"/>
              </w:rPr>
              <w:t>, at a minimum, for hypertension, Type 2 diabetes, asthma, c</w:t>
            </w:r>
            <w:r w:rsidRPr="007F1727">
              <w:rPr>
                <w:rFonts w:cs="Arial"/>
              </w:rPr>
              <w:t>hronic respiratory diseases</w:t>
            </w:r>
            <w:r>
              <w:rPr>
                <w:rFonts w:cs="Arial"/>
              </w:rPr>
              <w:t xml:space="preserve">, </w:t>
            </w:r>
            <w:r>
              <w:rPr>
                <w:rFonts w:cs="Arial"/>
                <w:color w:val="222222"/>
                <w:lang w:val="en"/>
              </w:rPr>
              <w:t xml:space="preserve">metabolic syndrome, </w:t>
            </w:r>
            <w:r>
              <w:rPr>
                <w:rFonts w:cs="Arial"/>
              </w:rPr>
              <w:t xml:space="preserve">low back pain and </w:t>
            </w:r>
            <w:r w:rsidRPr="001D59B2">
              <w:rPr>
                <w:rFonts w:cs="Arial"/>
              </w:rPr>
              <w:t>depression</w:t>
            </w:r>
            <w:r w:rsidRPr="00120D94">
              <w:rPr>
                <w:rFonts w:cs="Arial"/>
              </w:rPr>
              <w:t>.</w:t>
            </w:r>
            <w:r>
              <w:rPr>
                <w:rFonts w:cs="Arial"/>
              </w:rPr>
              <w:t xml:space="preserve"> </w:t>
            </w:r>
          </w:p>
        </w:tc>
      </w:tr>
      <w:tr w:rsidR="00161628" w14:paraId="56D7EFF9" w14:textId="77777777" w:rsidTr="0059128F">
        <w:tc>
          <w:tcPr>
            <w:tcW w:w="535" w:type="dxa"/>
          </w:tcPr>
          <w:p w14:paraId="389B17C4" w14:textId="77777777" w:rsidR="00161628" w:rsidRDefault="00161628" w:rsidP="00F01E1A">
            <w:pPr>
              <w:pStyle w:val="ListParagraph"/>
              <w:numPr>
                <w:ilvl w:val="0"/>
                <w:numId w:val="64"/>
              </w:numPr>
            </w:pPr>
          </w:p>
        </w:tc>
        <w:tc>
          <w:tcPr>
            <w:tcW w:w="8815" w:type="dxa"/>
            <w:vAlign w:val="bottom"/>
          </w:tcPr>
          <w:p w14:paraId="30EB8848" w14:textId="24A07878" w:rsidR="00161628" w:rsidRPr="003D53E3" w:rsidRDefault="00161628" w:rsidP="00AE7E96">
            <w:pPr>
              <w:pStyle w:val="LRWLBodyText"/>
              <w:rPr>
                <w:rFonts w:cs="Arial"/>
              </w:rPr>
            </w:pPr>
            <w:r w:rsidRPr="009623D6">
              <w:rPr>
                <w:rFonts w:cs="Arial"/>
              </w:rPr>
              <w:t xml:space="preserve">The </w:t>
            </w:r>
            <w:r w:rsidR="00A146AC">
              <w:rPr>
                <w:rFonts w:cs="Arial"/>
              </w:rPr>
              <w:t>Contractor</w:t>
            </w:r>
            <w:r w:rsidRPr="009623D6">
              <w:rPr>
                <w:rFonts w:cs="Arial"/>
              </w:rPr>
              <w:t xml:space="preserve"> must develop a disease management program that will expand over time, initially based on </w:t>
            </w:r>
            <w:r w:rsidR="00AE7E96">
              <w:rPr>
                <w:rFonts w:cs="Arial"/>
              </w:rPr>
              <w:t>Member</w:t>
            </w:r>
            <w:r w:rsidR="00AE7E96" w:rsidRPr="009623D6">
              <w:rPr>
                <w:rFonts w:cs="Arial"/>
              </w:rPr>
              <w:t xml:space="preserve"> </w:t>
            </w:r>
            <w:r w:rsidRPr="009623D6">
              <w:rPr>
                <w:rFonts w:cs="Arial"/>
              </w:rPr>
              <w:t>biometric and health risk assessment data, but later utilizing pharmacy claims data</w:t>
            </w:r>
            <w:r>
              <w:rPr>
                <w:rFonts w:cs="Arial"/>
              </w:rPr>
              <w:t>,</w:t>
            </w:r>
            <w:r w:rsidRPr="009623D6">
              <w:rPr>
                <w:rFonts w:cs="Arial"/>
              </w:rPr>
              <w:t xml:space="preserve"> medical claims</w:t>
            </w:r>
            <w:r>
              <w:rPr>
                <w:rFonts w:cs="Arial"/>
              </w:rPr>
              <w:t xml:space="preserve"> data and predictive modeling</w:t>
            </w:r>
            <w:r w:rsidRPr="009623D6">
              <w:rPr>
                <w:rFonts w:cs="Arial"/>
              </w:rPr>
              <w:t xml:space="preserve">. The </w:t>
            </w:r>
            <w:r w:rsidR="00A146AC">
              <w:rPr>
                <w:rFonts w:cs="Arial"/>
              </w:rPr>
              <w:t>Contractor</w:t>
            </w:r>
            <w:r w:rsidRPr="009623D6">
              <w:rPr>
                <w:rFonts w:cs="Arial"/>
              </w:rPr>
              <w:t xml:space="preserve"> must work with ETF to determine which conditions and which risk levels will be offered additional services.</w:t>
            </w:r>
          </w:p>
        </w:tc>
      </w:tr>
      <w:tr w:rsidR="003D53E3" w14:paraId="378C35BF" w14:textId="77777777" w:rsidTr="0059128F">
        <w:tc>
          <w:tcPr>
            <w:tcW w:w="535" w:type="dxa"/>
          </w:tcPr>
          <w:p w14:paraId="71234B70" w14:textId="77777777" w:rsidR="003D53E3" w:rsidRDefault="003D53E3" w:rsidP="00F01E1A">
            <w:pPr>
              <w:pStyle w:val="ListParagraph"/>
              <w:numPr>
                <w:ilvl w:val="0"/>
                <w:numId w:val="64"/>
              </w:numPr>
            </w:pPr>
          </w:p>
        </w:tc>
        <w:tc>
          <w:tcPr>
            <w:tcW w:w="8815" w:type="dxa"/>
            <w:vAlign w:val="bottom"/>
          </w:tcPr>
          <w:p w14:paraId="7211FFB8" w14:textId="6158D967" w:rsidR="003D53E3" w:rsidRDefault="003D53E3" w:rsidP="00110119">
            <w:pPr>
              <w:pStyle w:val="LRWLBodyText"/>
              <w:rPr>
                <w:rFonts w:cs="Arial"/>
              </w:rPr>
            </w:pPr>
            <w:r w:rsidRPr="003D53E3">
              <w:rPr>
                <w:rFonts w:cs="Arial"/>
              </w:rPr>
              <w:t>All health coaches for the disease management program must have appropriate certifications/credentials and have a minimum of one (1) year experience in coaching, and be provided with on-going education and training.</w:t>
            </w:r>
          </w:p>
        </w:tc>
      </w:tr>
      <w:tr w:rsidR="00110119" w14:paraId="57D23CBE" w14:textId="77777777" w:rsidTr="0059128F">
        <w:tc>
          <w:tcPr>
            <w:tcW w:w="535" w:type="dxa"/>
          </w:tcPr>
          <w:p w14:paraId="0769DB1D" w14:textId="77777777" w:rsidR="00110119" w:rsidRDefault="00110119" w:rsidP="00F01E1A">
            <w:pPr>
              <w:pStyle w:val="ListParagraph"/>
              <w:numPr>
                <w:ilvl w:val="0"/>
                <w:numId w:val="64"/>
              </w:numPr>
            </w:pPr>
          </w:p>
        </w:tc>
        <w:tc>
          <w:tcPr>
            <w:tcW w:w="8815" w:type="dxa"/>
            <w:vAlign w:val="bottom"/>
          </w:tcPr>
          <w:p w14:paraId="0307A85A" w14:textId="7DCF6066" w:rsidR="00110119" w:rsidRDefault="00110119" w:rsidP="00BE6D61">
            <w:pPr>
              <w:pStyle w:val="LRWLBodyText"/>
              <w:rPr>
                <w:rFonts w:cs="Arial"/>
              </w:rPr>
            </w:pPr>
            <w:r>
              <w:rPr>
                <w:rFonts w:cs="Arial"/>
              </w:rPr>
              <w:t xml:space="preserve">The </w:t>
            </w:r>
            <w:r w:rsidR="00A146AC">
              <w:rPr>
                <w:rFonts w:cs="Arial"/>
              </w:rPr>
              <w:t>Contractor</w:t>
            </w:r>
            <w:r>
              <w:rPr>
                <w:rFonts w:cs="Arial"/>
              </w:rPr>
              <w:t xml:space="preserve"> must conduct individual outreach</w:t>
            </w:r>
            <w:r w:rsidR="00161628">
              <w:rPr>
                <w:rFonts w:cs="Arial"/>
              </w:rPr>
              <w:t xml:space="preserve"> by mail (USPS) and phone</w:t>
            </w:r>
            <w:r>
              <w:rPr>
                <w:rFonts w:cs="Arial"/>
              </w:rPr>
              <w:t xml:space="preserve"> to offer </w:t>
            </w:r>
            <w:r w:rsidR="00161628">
              <w:rPr>
                <w:rFonts w:cs="Arial"/>
              </w:rPr>
              <w:t>disease management services</w:t>
            </w:r>
            <w:r>
              <w:rPr>
                <w:rFonts w:cs="Arial"/>
              </w:rPr>
              <w:t xml:space="preserve"> to </w:t>
            </w:r>
            <w:r w:rsidR="00AE7E96">
              <w:rPr>
                <w:rFonts w:cs="Arial"/>
              </w:rPr>
              <w:t xml:space="preserve">Members </w:t>
            </w:r>
            <w:r>
              <w:rPr>
                <w:rFonts w:cs="Arial"/>
              </w:rPr>
              <w:t>identified as moderate or high risk based</w:t>
            </w:r>
            <w:r w:rsidR="00161628">
              <w:rPr>
                <w:rFonts w:cs="Arial"/>
              </w:rPr>
              <w:t>,</w:t>
            </w:r>
            <w:r>
              <w:rPr>
                <w:rFonts w:cs="Arial"/>
              </w:rPr>
              <w:t xml:space="preserve"> </w:t>
            </w:r>
            <w:r w:rsidR="00161628">
              <w:rPr>
                <w:rFonts w:cs="Arial"/>
              </w:rPr>
              <w:t xml:space="preserve">initially based on </w:t>
            </w:r>
            <w:r>
              <w:rPr>
                <w:rFonts w:cs="Arial"/>
              </w:rPr>
              <w:t>the biometric screening results or response to the health risk assessment</w:t>
            </w:r>
            <w:r w:rsidR="00161628">
              <w:rPr>
                <w:rFonts w:cs="Arial"/>
              </w:rPr>
              <w:t>, then on claims data</w:t>
            </w:r>
            <w:r>
              <w:rPr>
                <w:rFonts w:cs="Arial"/>
              </w:rPr>
              <w:t>.</w:t>
            </w:r>
            <w:r w:rsidR="00161628">
              <w:rPr>
                <w:rFonts w:cs="Arial"/>
              </w:rPr>
              <w:t xml:space="preserve"> </w:t>
            </w:r>
            <w:r w:rsidR="00AE7E96">
              <w:rPr>
                <w:rFonts w:cs="Arial"/>
              </w:rPr>
              <w:t xml:space="preserve">The details on the type of risk factors and frequency of outreach must be included in the </w:t>
            </w:r>
            <w:r w:rsidR="00AE7E96" w:rsidRPr="00082528">
              <w:rPr>
                <w:rFonts w:cs="Arial"/>
                <w:color w:val="000000"/>
              </w:rPr>
              <w:t>Annual Promotion and Communication Plan submitted to ETF.</w:t>
            </w:r>
            <w:r w:rsidR="00AE7E96">
              <w:rPr>
                <w:rFonts w:cs="Arial"/>
                <w:color w:val="000000"/>
              </w:rPr>
              <w:t xml:space="preserve"> </w:t>
            </w:r>
            <w:r>
              <w:rPr>
                <w:rFonts w:cs="Arial"/>
              </w:rPr>
              <w:t xml:space="preserve">At the request of ETF, the </w:t>
            </w:r>
            <w:r w:rsidR="00A146AC">
              <w:rPr>
                <w:rFonts w:cs="Arial"/>
              </w:rPr>
              <w:t>Contractor</w:t>
            </w:r>
            <w:r>
              <w:rPr>
                <w:rFonts w:cs="Arial"/>
              </w:rPr>
              <w:t xml:space="preserve"> must </w:t>
            </w:r>
            <w:r w:rsidR="00BE6D61">
              <w:rPr>
                <w:rFonts w:cs="Arial"/>
              </w:rPr>
              <w:t>adjust</w:t>
            </w:r>
            <w:r>
              <w:rPr>
                <w:rFonts w:cs="Arial"/>
              </w:rPr>
              <w:t xml:space="preserve"> the frequency and type of outreach for disease management programs.</w:t>
            </w:r>
          </w:p>
        </w:tc>
      </w:tr>
      <w:tr w:rsidR="00055161" w14:paraId="6772F90D" w14:textId="77777777" w:rsidTr="0059128F">
        <w:tc>
          <w:tcPr>
            <w:tcW w:w="535" w:type="dxa"/>
          </w:tcPr>
          <w:p w14:paraId="6FD7653D" w14:textId="77777777" w:rsidR="00055161" w:rsidRDefault="00055161" w:rsidP="00F01E1A">
            <w:pPr>
              <w:pStyle w:val="ListParagraph"/>
              <w:numPr>
                <w:ilvl w:val="0"/>
                <w:numId w:val="64"/>
              </w:numPr>
            </w:pPr>
          </w:p>
        </w:tc>
        <w:tc>
          <w:tcPr>
            <w:tcW w:w="8815" w:type="dxa"/>
            <w:vAlign w:val="bottom"/>
          </w:tcPr>
          <w:p w14:paraId="3553B5D2" w14:textId="71980D9C" w:rsidR="00055161" w:rsidRPr="009623D6" w:rsidRDefault="009623D6" w:rsidP="00B157B0">
            <w:pPr>
              <w:rPr>
                <w:rFonts w:ascii="Arial" w:hAnsi="Arial" w:cs="Arial"/>
              </w:rPr>
            </w:pPr>
            <w:r w:rsidRPr="009623D6">
              <w:rPr>
                <w:rFonts w:ascii="Arial" w:hAnsi="Arial" w:cs="Arial"/>
              </w:rPr>
              <w:t xml:space="preserve">Once claims data </w:t>
            </w:r>
            <w:r w:rsidR="00F26D20">
              <w:rPr>
                <w:rFonts w:ascii="Arial" w:hAnsi="Arial" w:cs="Arial"/>
              </w:rPr>
              <w:t xml:space="preserve">for the GHIP/WPE programs </w:t>
            </w:r>
            <w:r w:rsidR="00B157B0">
              <w:rPr>
                <w:rFonts w:ascii="Arial" w:hAnsi="Arial" w:cs="Arial"/>
              </w:rPr>
              <w:t>is</w:t>
            </w:r>
            <w:r w:rsidR="00B157B0" w:rsidRPr="009623D6">
              <w:rPr>
                <w:rFonts w:ascii="Arial" w:hAnsi="Arial" w:cs="Arial"/>
              </w:rPr>
              <w:t xml:space="preserve"> </w:t>
            </w:r>
            <w:r w:rsidRPr="009623D6">
              <w:rPr>
                <w:rFonts w:ascii="Arial" w:hAnsi="Arial" w:cs="Arial"/>
              </w:rPr>
              <w:t xml:space="preserve">available to the </w:t>
            </w:r>
            <w:r w:rsidR="00A146AC">
              <w:rPr>
                <w:rFonts w:ascii="Arial" w:hAnsi="Arial" w:cs="Arial"/>
              </w:rPr>
              <w:t>Contractor</w:t>
            </w:r>
            <w:r w:rsidRPr="009623D6">
              <w:rPr>
                <w:rFonts w:ascii="Arial" w:hAnsi="Arial" w:cs="Arial"/>
              </w:rPr>
              <w:t xml:space="preserve">, the </w:t>
            </w:r>
            <w:r w:rsidR="00A146AC">
              <w:rPr>
                <w:rFonts w:ascii="Arial" w:hAnsi="Arial" w:cs="Arial"/>
              </w:rPr>
              <w:t>Contractor</w:t>
            </w:r>
            <w:r w:rsidRPr="009623D6">
              <w:rPr>
                <w:rFonts w:ascii="Arial" w:hAnsi="Arial" w:cs="Arial"/>
              </w:rPr>
              <w:t xml:space="preserve"> must report return on investment (ROI) </w:t>
            </w:r>
            <w:r w:rsidR="00981318">
              <w:rPr>
                <w:rFonts w:ascii="Arial" w:hAnsi="Arial" w:cs="Arial"/>
              </w:rPr>
              <w:t xml:space="preserve">annually </w:t>
            </w:r>
            <w:r w:rsidRPr="009623D6">
              <w:rPr>
                <w:rFonts w:ascii="Arial" w:hAnsi="Arial" w:cs="Arial"/>
              </w:rPr>
              <w:t xml:space="preserve">for the </w:t>
            </w:r>
            <w:r w:rsidR="00F42561">
              <w:rPr>
                <w:rFonts w:ascii="Arial" w:hAnsi="Arial" w:cs="Arial"/>
              </w:rPr>
              <w:t xml:space="preserve">ETF </w:t>
            </w:r>
            <w:r w:rsidRPr="009623D6">
              <w:rPr>
                <w:rFonts w:ascii="Arial" w:hAnsi="Arial" w:cs="Arial"/>
              </w:rPr>
              <w:t xml:space="preserve">wellness and disease management programs. </w:t>
            </w:r>
            <w:r>
              <w:rPr>
                <w:rFonts w:ascii="Arial" w:hAnsi="Arial" w:cs="Arial"/>
              </w:rPr>
              <w:t xml:space="preserve">Upon request, the </w:t>
            </w:r>
            <w:r w:rsidR="00A146AC">
              <w:rPr>
                <w:rFonts w:ascii="Arial" w:hAnsi="Arial" w:cs="Arial"/>
              </w:rPr>
              <w:t>Contractor</w:t>
            </w:r>
            <w:r>
              <w:rPr>
                <w:rFonts w:ascii="Arial" w:hAnsi="Arial" w:cs="Arial"/>
              </w:rPr>
              <w:t xml:space="preserve"> must provide a description of the methodology used to calculate ROI on all programs.</w:t>
            </w:r>
          </w:p>
        </w:tc>
      </w:tr>
      <w:tr w:rsidR="008771E7" w14:paraId="529D4317" w14:textId="77777777" w:rsidTr="0059128F">
        <w:tc>
          <w:tcPr>
            <w:tcW w:w="535" w:type="dxa"/>
          </w:tcPr>
          <w:p w14:paraId="219937F3" w14:textId="77777777" w:rsidR="008771E7" w:rsidRDefault="008771E7" w:rsidP="00F01E1A">
            <w:pPr>
              <w:pStyle w:val="ListParagraph"/>
              <w:numPr>
                <w:ilvl w:val="0"/>
                <w:numId w:val="64"/>
              </w:numPr>
            </w:pPr>
          </w:p>
        </w:tc>
        <w:tc>
          <w:tcPr>
            <w:tcW w:w="8815" w:type="dxa"/>
            <w:vAlign w:val="bottom"/>
          </w:tcPr>
          <w:p w14:paraId="0E043621" w14:textId="2900F61E" w:rsidR="008771E7" w:rsidRPr="00587282" w:rsidRDefault="008771E7" w:rsidP="00966CA3">
            <w:pPr>
              <w:pStyle w:val="LRWLBodyText"/>
              <w:rPr>
                <w:rFonts w:cs="Arial"/>
              </w:rPr>
            </w:pPr>
            <w:r>
              <w:rPr>
                <w:rFonts w:cs="Arial"/>
              </w:rPr>
              <w:t xml:space="preserve">The </w:t>
            </w:r>
            <w:r w:rsidR="00A146AC">
              <w:rPr>
                <w:rFonts w:cs="Arial"/>
              </w:rPr>
              <w:t>Contractor</w:t>
            </w:r>
            <w:r>
              <w:rPr>
                <w:rFonts w:cs="Arial"/>
              </w:rPr>
              <w:t xml:space="preserve"> must </w:t>
            </w:r>
            <w:r w:rsidRPr="00082528">
              <w:rPr>
                <w:rFonts w:cs="Arial"/>
                <w:color w:val="000000"/>
              </w:rPr>
              <w:t>provide up to twelve (12) live webinars each year</w:t>
            </w:r>
            <w:r w:rsidR="004A04E9">
              <w:rPr>
                <w:rFonts w:cs="Arial"/>
                <w:color w:val="000000"/>
              </w:rPr>
              <w:t xml:space="preserve"> of the Contract</w:t>
            </w:r>
            <w:r w:rsidRPr="00082528">
              <w:rPr>
                <w:rFonts w:cs="Arial"/>
                <w:color w:val="000000"/>
              </w:rPr>
              <w:t>. W</w:t>
            </w:r>
            <w:r w:rsidR="00B32116" w:rsidRPr="00082528">
              <w:rPr>
                <w:rFonts w:cs="Arial"/>
                <w:color w:val="000000"/>
              </w:rPr>
              <w:t xml:space="preserve">ebinar </w:t>
            </w:r>
            <w:r w:rsidR="00BC7C4A" w:rsidRPr="00082528">
              <w:rPr>
                <w:rFonts w:cs="Arial"/>
                <w:color w:val="000000"/>
              </w:rPr>
              <w:t xml:space="preserve">topics </w:t>
            </w:r>
            <w:r w:rsidR="00BC7C4A">
              <w:rPr>
                <w:rFonts w:cs="Arial"/>
                <w:color w:val="000000"/>
              </w:rPr>
              <w:t xml:space="preserve">and promotion methods </w:t>
            </w:r>
            <w:r w:rsidR="00BC7C4A" w:rsidRPr="00082528">
              <w:rPr>
                <w:rFonts w:cs="Arial"/>
                <w:color w:val="000000"/>
              </w:rPr>
              <w:t>must be included in the Annual Promotion and Communication Plan submitted to ETF.</w:t>
            </w:r>
            <w:r w:rsidR="00323E94">
              <w:rPr>
                <w:rFonts w:cs="Arial"/>
                <w:color w:val="000000"/>
              </w:rPr>
              <w:t xml:space="preserve"> Webinar content must be provided to the ETF Program Manager at least ninety (90) Days prior to the webinar date and have all updates required by ETF sixty (60) Days prior to the air date. Up to two (2) webinars per year will be specific to the requirements of the ETF program and </w:t>
            </w:r>
            <w:r w:rsidR="00942C7D">
              <w:rPr>
                <w:rFonts w:cs="Arial"/>
                <w:color w:val="000000"/>
              </w:rPr>
              <w:t xml:space="preserve">the </w:t>
            </w:r>
            <w:r w:rsidR="00A146AC">
              <w:rPr>
                <w:rFonts w:cs="Arial"/>
                <w:color w:val="000000"/>
              </w:rPr>
              <w:t>Contractor</w:t>
            </w:r>
            <w:r w:rsidR="00323E94">
              <w:rPr>
                <w:rFonts w:cs="Arial"/>
                <w:color w:val="000000"/>
              </w:rPr>
              <w:t xml:space="preserve"> services offered as part of the </w:t>
            </w:r>
            <w:r w:rsidR="00966CA3">
              <w:rPr>
                <w:rFonts w:cs="Arial"/>
                <w:color w:val="000000"/>
              </w:rPr>
              <w:t xml:space="preserve">ETF </w:t>
            </w:r>
            <w:r w:rsidR="00323E94">
              <w:rPr>
                <w:rFonts w:cs="Arial"/>
                <w:color w:val="000000"/>
              </w:rPr>
              <w:t>program.</w:t>
            </w:r>
            <w:r w:rsidR="004F254F">
              <w:rPr>
                <w:rFonts w:cs="Arial"/>
                <w:color w:val="000000"/>
              </w:rPr>
              <w:t xml:space="preserve"> A post</w:t>
            </w:r>
            <w:r w:rsidR="00966CA3">
              <w:rPr>
                <w:rFonts w:cs="Arial"/>
                <w:color w:val="000000"/>
              </w:rPr>
              <w:t xml:space="preserve">-webinar </w:t>
            </w:r>
            <w:r w:rsidR="004F254F">
              <w:rPr>
                <w:rFonts w:cs="Arial"/>
                <w:color w:val="000000"/>
              </w:rPr>
              <w:t>satisfaction survey must be distributed to attendees of the webinar</w:t>
            </w:r>
            <w:r w:rsidR="00FB32B3">
              <w:rPr>
                <w:rFonts w:cs="Arial"/>
                <w:color w:val="000000"/>
              </w:rPr>
              <w:t>s</w:t>
            </w:r>
            <w:r w:rsidR="00F13FED">
              <w:rPr>
                <w:rFonts w:cs="Arial"/>
                <w:color w:val="000000"/>
              </w:rPr>
              <w:t>.</w:t>
            </w:r>
            <w:r w:rsidR="004A04E9">
              <w:rPr>
                <w:rFonts w:cs="Arial"/>
                <w:color w:val="000000"/>
              </w:rPr>
              <w:t xml:space="preserve"> </w:t>
            </w:r>
          </w:p>
        </w:tc>
      </w:tr>
      <w:tr w:rsidR="00587282" w14:paraId="5EB4B5D0" w14:textId="77777777" w:rsidTr="0059128F">
        <w:tc>
          <w:tcPr>
            <w:tcW w:w="535" w:type="dxa"/>
          </w:tcPr>
          <w:p w14:paraId="7A02C213" w14:textId="56DB3E6D" w:rsidR="00587282" w:rsidRDefault="00587282" w:rsidP="00F01E1A">
            <w:pPr>
              <w:pStyle w:val="ListParagraph"/>
              <w:numPr>
                <w:ilvl w:val="0"/>
                <w:numId w:val="64"/>
              </w:numPr>
            </w:pPr>
          </w:p>
        </w:tc>
        <w:tc>
          <w:tcPr>
            <w:tcW w:w="8815" w:type="dxa"/>
            <w:vAlign w:val="bottom"/>
          </w:tcPr>
          <w:p w14:paraId="56DC5BA5" w14:textId="1AECF67E" w:rsidR="00587282" w:rsidRPr="009623D6" w:rsidRDefault="00587282" w:rsidP="00587282">
            <w:pPr>
              <w:rPr>
                <w:rFonts w:ascii="Arial" w:hAnsi="Arial" w:cs="Arial"/>
              </w:rPr>
            </w:pPr>
            <w:r w:rsidRPr="00587282">
              <w:rPr>
                <w:rFonts w:ascii="Arial" w:hAnsi="Arial" w:cs="Arial"/>
              </w:rPr>
              <w:t xml:space="preserve">The </w:t>
            </w:r>
            <w:r w:rsidR="00A146AC">
              <w:rPr>
                <w:rFonts w:ascii="Arial" w:hAnsi="Arial" w:cs="Arial"/>
              </w:rPr>
              <w:t>Contractor</w:t>
            </w:r>
            <w:r w:rsidRPr="00587282">
              <w:rPr>
                <w:rFonts w:ascii="Arial" w:hAnsi="Arial" w:cs="Arial"/>
              </w:rPr>
              <w:t xml:space="preserve"> must assist ETF and its stakeholders and partners with identifying and implementing </w:t>
            </w:r>
            <w:r>
              <w:rPr>
                <w:rFonts w:ascii="Arial" w:hAnsi="Arial" w:cs="Arial"/>
              </w:rPr>
              <w:t>up to four (4) pilot programs each year including but not limited to, outreach to targeted populations, education campaigns, onsite coaching, or targeted group challenges.</w:t>
            </w:r>
          </w:p>
        </w:tc>
      </w:tr>
      <w:tr w:rsidR="00D17B2A" w14:paraId="7F3DC85A" w14:textId="77777777" w:rsidTr="00BD0A63">
        <w:tc>
          <w:tcPr>
            <w:tcW w:w="535" w:type="dxa"/>
          </w:tcPr>
          <w:p w14:paraId="7D1ED10A" w14:textId="77777777" w:rsidR="00D17B2A" w:rsidRDefault="00D17B2A" w:rsidP="00F01E1A">
            <w:pPr>
              <w:pStyle w:val="ListParagraph"/>
              <w:numPr>
                <w:ilvl w:val="0"/>
                <w:numId w:val="64"/>
              </w:numPr>
            </w:pPr>
          </w:p>
        </w:tc>
        <w:tc>
          <w:tcPr>
            <w:tcW w:w="8815" w:type="dxa"/>
          </w:tcPr>
          <w:p w14:paraId="22465529" w14:textId="0FB8FEB7" w:rsidR="00D17B2A" w:rsidRPr="00587282" w:rsidRDefault="00D17B2A" w:rsidP="00C120D3">
            <w:pPr>
              <w:rPr>
                <w:rFonts w:ascii="Arial" w:hAnsi="Arial" w:cs="Arial"/>
              </w:rPr>
            </w:pPr>
            <w:r w:rsidRPr="005D0014">
              <w:rPr>
                <w:rFonts w:ascii="Arial" w:hAnsi="Arial" w:cs="Arial"/>
              </w:rPr>
              <w:t xml:space="preserve">The </w:t>
            </w:r>
            <w:r w:rsidR="00A146AC">
              <w:rPr>
                <w:rFonts w:ascii="Arial" w:hAnsi="Arial" w:cs="Arial"/>
              </w:rPr>
              <w:t>Contractor</w:t>
            </w:r>
            <w:r w:rsidRPr="005D0014">
              <w:rPr>
                <w:rFonts w:ascii="Arial" w:hAnsi="Arial" w:cs="Arial"/>
              </w:rPr>
              <w:t xml:space="preserve"> must meet the performance standards for </w:t>
            </w:r>
            <w:r w:rsidR="00C120D3">
              <w:rPr>
                <w:rFonts w:ascii="Arial" w:hAnsi="Arial" w:cs="Arial"/>
              </w:rPr>
              <w:t xml:space="preserve">the </w:t>
            </w:r>
            <w:r w:rsidRPr="00D17B2A">
              <w:rPr>
                <w:rFonts w:ascii="Arial" w:hAnsi="Arial" w:cs="Arial"/>
              </w:rPr>
              <w:t>Wellness and Disease Management Programs</w:t>
            </w:r>
            <w:r w:rsidRPr="005D0014">
              <w:rPr>
                <w:rFonts w:ascii="Arial" w:hAnsi="Arial" w:cs="Arial"/>
              </w:rPr>
              <w:t xml:space="preserve"> detailed in </w:t>
            </w:r>
            <w:r w:rsidR="00C120D3">
              <w:rPr>
                <w:rFonts w:ascii="Arial" w:hAnsi="Arial" w:cs="Arial"/>
              </w:rPr>
              <w:t>Appendix 7 Performance Standards</w:t>
            </w:r>
            <w:r w:rsidRPr="005D0014">
              <w:rPr>
                <w:rFonts w:ascii="Arial" w:hAnsi="Arial" w:cs="Arial"/>
              </w:rPr>
              <w:t>.</w:t>
            </w:r>
          </w:p>
        </w:tc>
      </w:tr>
    </w:tbl>
    <w:p w14:paraId="21A5235C" w14:textId="5833C801" w:rsidR="0054015B" w:rsidRDefault="0054015B" w:rsidP="00644C74">
      <w:pPr>
        <w:pStyle w:val="Heading2"/>
        <w:ind w:hanging="1926"/>
      </w:pPr>
      <w:r>
        <w:t>Staffing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54015B" w:rsidRPr="00446723" w14:paraId="07D20E8A" w14:textId="77777777" w:rsidTr="00410419">
        <w:tc>
          <w:tcPr>
            <w:tcW w:w="535" w:type="dxa"/>
          </w:tcPr>
          <w:p w14:paraId="27AEBD44" w14:textId="77777777" w:rsidR="0054015B" w:rsidRDefault="0054015B" w:rsidP="00F01E1A">
            <w:pPr>
              <w:pStyle w:val="ListParagraph"/>
              <w:numPr>
                <w:ilvl w:val="0"/>
                <w:numId w:val="21"/>
              </w:numPr>
            </w:pPr>
          </w:p>
        </w:tc>
        <w:tc>
          <w:tcPr>
            <w:tcW w:w="8815" w:type="dxa"/>
          </w:tcPr>
          <w:p w14:paraId="759FA035" w14:textId="7F18ACC0" w:rsidR="0054015B" w:rsidRPr="00446723" w:rsidRDefault="0054015B" w:rsidP="004B5F57">
            <w:pPr>
              <w:rPr>
                <w:rFonts w:ascii="Arial" w:hAnsi="Arial" w:cs="Arial"/>
                <w:color w:val="000000"/>
              </w:rPr>
            </w:pPr>
            <w:r w:rsidRPr="00E71BCD">
              <w:rPr>
                <w:rFonts w:ascii="Arial" w:hAnsi="Arial" w:cs="Arial"/>
              </w:rPr>
              <w:t xml:space="preserve">The </w:t>
            </w:r>
            <w:r w:rsidR="00A146AC">
              <w:rPr>
                <w:rFonts w:ascii="Arial" w:hAnsi="Arial" w:cs="Arial"/>
              </w:rPr>
              <w:t>Contractor</w:t>
            </w:r>
            <w:r w:rsidRPr="00E71BCD">
              <w:rPr>
                <w:rFonts w:ascii="Arial" w:hAnsi="Arial" w:cs="Arial"/>
              </w:rPr>
              <w:t xml:space="preserve"> must provide and maintain qualified staff at a level that enables the </w:t>
            </w:r>
            <w:r w:rsidR="00A146AC">
              <w:rPr>
                <w:rFonts w:ascii="Arial" w:hAnsi="Arial" w:cs="Arial"/>
              </w:rPr>
              <w:t>Contractor</w:t>
            </w:r>
            <w:r w:rsidRPr="00E71BCD">
              <w:rPr>
                <w:rFonts w:ascii="Arial" w:hAnsi="Arial" w:cs="Arial"/>
              </w:rPr>
              <w:t xml:space="preserve"> to conduct the requirements of th</w:t>
            </w:r>
            <w:r w:rsidR="00D93863">
              <w:rPr>
                <w:rFonts w:ascii="Arial" w:hAnsi="Arial" w:cs="Arial"/>
              </w:rPr>
              <w:t>e</w:t>
            </w:r>
            <w:r w:rsidRPr="00E71BCD">
              <w:rPr>
                <w:rFonts w:ascii="Arial" w:hAnsi="Arial" w:cs="Arial"/>
              </w:rPr>
              <w:t xml:space="preserve"> Contract</w:t>
            </w:r>
            <w:r>
              <w:rPr>
                <w:rFonts w:ascii="Arial" w:hAnsi="Arial" w:cs="Arial"/>
              </w:rPr>
              <w:t xml:space="preserve"> and the future </w:t>
            </w:r>
            <w:r w:rsidR="00981318">
              <w:rPr>
                <w:rFonts w:ascii="Arial" w:hAnsi="Arial" w:cs="Arial"/>
              </w:rPr>
              <w:t>participation rates</w:t>
            </w:r>
            <w:r>
              <w:rPr>
                <w:rFonts w:ascii="Arial" w:hAnsi="Arial" w:cs="Arial"/>
              </w:rPr>
              <w:t xml:space="preserve"> of the program</w:t>
            </w:r>
            <w:r w:rsidR="00D93863">
              <w:rPr>
                <w:rFonts w:ascii="Arial" w:hAnsi="Arial" w:cs="Arial"/>
              </w:rPr>
              <w:t>s</w:t>
            </w:r>
            <w:r w:rsidRPr="00E71BCD">
              <w:rPr>
                <w:rFonts w:ascii="Arial" w:hAnsi="Arial" w:cs="Arial"/>
              </w:rPr>
              <w:t xml:space="preserve">. The </w:t>
            </w:r>
            <w:r w:rsidR="00A146AC">
              <w:rPr>
                <w:rFonts w:ascii="Arial" w:hAnsi="Arial" w:cs="Arial"/>
              </w:rPr>
              <w:t>Contractor</w:t>
            </w:r>
            <w:r w:rsidR="004B5F57">
              <w:rPr>
                <w:rFonts w:ascii="Arial" w:hAnsi="Arial" w:cs="Arial"/>
              </w:rPr>
              <w:t xml:space="preserve"> must ensure that all persons, </w:t>
            </w:r>
            <w:r w:rsidRPr="00E71BCD">
              <w:rPr>
                <w:rFonts w:ascii="Arial" w:hAnsi="Arial" w:cs="Arial"/>
              </w:rPr>
              <w:t>incl</w:t>
            </w:r>
            <w:r w:rsidR="004B5F57">
              <w:rPr>
                <w:rFonts w:ascii="Arial" w:hAnsi="Arial" w:cs="Arial"/>
              </w:rPr>
              <w:t>uding S</w:t>
            </w:r>
            <w:r w:rsidRPr="00E71BCD">
              <w:rPr>
                <w:rFonts w:ascii="Arial" w:hAnsi="Arial" w:cs="Arial"/>
              </w:rPr>
              <w:t xml:space="preserve">ubcontractors </w:t>
            </w:r>
            <w:r w:rsidRPr="00E71BCD">
              <w:rPr>
                <w:rFonts w:ascii="Arial" w:hAnsi="Arial" w:cs="Arial"/>
              </w:rPr>
              <w:lastRenderedPageBreak/>
              <w:t xml:space="preserve">assigned to perform </w:t>
            </w:r>
            <w:r w:rsidR="004B5F57">
              <w:rPr>
                <w:rFonts w:ascii="Arial" w:hAnsi="Arial" w:cs="Arial"/>
              </w:rPr>
              <w:t xml:space="preserve">Services </w:t>
            </w:r>
            <w:r w:rsidRPr="00E71BCD">
              <w:rPr>
                <w:rFonts w:ascii="Arial" w:hAnsi="Arial" w:cs="Arial"/>
              </w:rPr>
              <w:t>under the Contract, have the experience</w:t>
            </w:r>
            <w:r w:rsidR="001745BC">
              <w:rPr>
                <w:rFonts w:ascii="Arial" w:hAnsi="Arial" w:cs="Arial"/>
              </w:rPr>
              <w:t>,</w:t>
            </w:r>
            <w:r w:rsidRPr="00E71BCD">
              <w:rPr>
                <w:rFonts w:ascii="Arial" w:hAnsi="Arial" w:cs="Arial"/>
              </w:rPr>
              <w:t xml:space="preserve"> credentials</w:t>
            </w:r>
            <w:r w:rsidR="001745BC">
              <w:rPr>
                <w:rFonts w:ascii="Arial" w:hAnsi="Arial" w:cs="Arial"/>
              </w:rPr>
              <w:t xml:space="preserve"> and</w:t>
            </w:r>
            <w:r w:rsidR="004B5F57">
              <w:rPr>
                <w:rFonts w:ascii="Arial" w:hAnsi="Arial" w:cs="Arial"/>
              </w:rPr>
              <w:t>,</w:t>
            </w:r>
            <w:r w:rsidR="001745BC">
              <w:rPr>
                <w:rFonts w:ascii="Arial" w:hAnsi="Arial" w:cs="Arial"/>
              </w:rPr>
              <w:t xml:space="preserve"> professionalism</w:t>
            </w:r>
            <w:r w:rsidRPr="00E71BCD">
              <w:rPr>
                <w:rFonts w:ascii="Arial" w:hAnsi="Arial" w:cs="Arial"/>
              </w:rPr>
              <w:t xml:space="preserve"> necessary </w:t>
            </w:r>
            <w:r>
              <w:rPr>
                <w:rFonts w:ascii="Arial" w:hAnsi="Arial" w:cs="Arial"/>
              </w:rPr>
              <w:t>t</w:t>
            </w:r>
            <w:r w:rsidRPr="00E71BCD">
              <w:rPr>
                <w:rFonts w:ascii="Arial" w:hAnsi="Arial" w:cs="Arial"/>
              </w:rPr>
              <w:t xml:space="preserve">o perform the </w:t>
            </w:r>
            <w:r w:rsidR="004B5F57">
              <w:rPr>
                <w:rFonts w:ascii="Arial" w:hAnsi="Arial" w:cs="Arial"/>
              </w:rPr>
              <w:t xml:space="preserve">Services </w:t>
            </w:r>
            <w:r w:rsidRPr="00E71BCD">
              <w:rPr>
                <w:rFonts w:ascii="Arial" w:hAnsi="Arial" w:cs="Arial"/>
              </w:rPr>
              <w:t xml:space="preserve">required. </w:t>
            </w:r>
          </w:p>
        </w:tc>
      </w:tr>
      <w:tr w:rsidR="0054015B" w:rsidRPr="00446723" w14:paraId="79B9C2F9" w14:textId="77777777" w:rsidTr="00410419">
        <w:tc>
          <w:tcPr>
            <w:tcW w:w="535" w:type="dxa"/>
          </w:tcPr>
          <w:p w14:paraId="20846C39" w14:textId="77777777" w:rsidR="0054015B" w:rsidRDefault="0054015B" w:rsidP="00F01E1A">
            <w:pPr>
              <w:pStyle w:val="ListParagraph"/>
              <w:numPr>
                <w:ilvl w:val="0"/>
                <w:numId w:val="21"/>
              </w:numPr>
            </w:pPr>
          </w:p>
        </w:tc>
        <w:tc>
          <w:tcPr>
            <w:tcW w:w="8815" w:type="dxa"/>
          </w:tcPr>
          <w:p w14:paraId="2D52CBE0" w14:textId="1263F542" w:rsidR="0054015B" w:rsidRDefault="0054015B" w:rsidP="0054015B">
            <w:pPr>
              <w:rPr>
                <w:rFonts w:ascii="Arial" w:hAnsi="Arial" w:cs="Arial"/>
              </w:rPr>
            </w:pPr>
            <w:r>
              <w:rPr>
                <w:rFonts w:ascii="Arial" w:hAnsi="Arial" w:cs="Arial"/>
              </w:rPr>
              <w:t xml:space="preserve">The </w:t>
            </w:r>
            <w:r w:rsidR="00A146AC">
              <w:rPr>
                <w:rFonts w:ascii="Arial" w:hAnsi="Arial" w:cs="Arial"/>
              </w:rPr>
              <w:t>Contractor</w:t>
            </w:r>
            <w:r w:rsidRPr="00E71BCD">
              <w:rPr>
                <w:rFonts w:ascii="Arial" w:hAnsi="Arial" w:cs="Arial"/>
              </w:rPr>
              <w:t xml:space="preserve"> must have a </w:t>
            </w:r>
            <w:r>
              <w:rPr>
                <w:rFonts w:ascii="Arial" w:hAnsi="Arial" w:cs="Arial"/>
              </w:rPr>
              <w:t>l</w:t>
            </w:r>
            <w:r w:rsidRPr="00E71BCD">
              <w:rPr>
                <w:rFonts w:ascii="Arial" w:hAnsi="Arial" w:cs="Arial"/>
              </w:rPr>
              <w:t xml:space="preserve">ead Account Manager and a backup Account Manager assigned to </w:t>
            </w:r>
            <w:r>
              <w:rPr>
                <w:rFonts w:ascii="Arial" w:hAnsi="Arial" w:cs="Arial"/>
              </w:rPr>
              <w:t xml:space="preserve">ETF, for the life of the Contract, who can </w:t>
            </w:r>
            <w:r w:rsidRPr="00FC614A">
              <w:rPr>
                <w:rFonts w:ascii="Arial" w:hAnsi="Arial" w:cs="Arial"/>
              </w:rPr>
              <w:t>provide daily operational support as well as</w:t>
            </w:r>
            <w:r>
              <w:rPr>
                <w:rFonts w:ascii="Arial" w:hAnsi="Arial" w:cs="Arial"/>
              </w:rPr>
              <w:t xml:space="preserve"> </w:t>
            </w:r>
            <w:r w:rsidRPr="00FC614A">
              <w:rPr>
                <w:rFonts w:ascii="Arial" w:hAnsi="Arial" w:cs="Arial"/>
              </w:rPr>
              <w:t>strategic planning and analysis.</w:t>
            </w:r>
            <w:r>
              <w:rPr>
                <w:rFonts w:ascii="Arial" w:hAnsi="Arial" w:cs="Arial"/>
              </w:rPr>
              <w:t xml:space="preserve"> </w:t>
            </w:r>
            <w:r w:rsidRPr="00FC614A">
              <w:rPr>
                <w:rFonts w:ascii="Arial" w:hAnsi="Arial" w:cs="Arial"/>
              </w:rPr>
              <w:t xml:space="preserve">The Account </w:t>
            </w:r>
            <w:r w:rsidR="00B07D6E">
              <w:rPr>
                <w:rFonts w:ascii="Arial" w:hAnsi="Arial" w:cs="Arial"/>
              </w:rPr>
              <w:t>Manager must</w:t>
            </w:r>
            <w:r w:rsidRPr="00FC614A">
              <w:rPr>
                <w:rFonts w:ascii="Arial" w:hAnsi="Arial" w:cs="Arial"/>
              </w:rPr>
              <w:t xml:space="preserve"> be available for consultation with </w:t>
            </w:r>
            <w:r>
              <w:rPr>
                <w:rFonts w:ascii="Arial" w:hAnsi="Arial" w:cs="Arial"/>
              </w:rPr>
              <w:t>ETF</w:t>
            </w:r>
            <w:r w:rsidRPr="00FC614A">
              <w:rPr>
                <w:rFonts w:ascii="Arial" w:hAnsi="Arial" w:cs="Arial"/>
              </w:rPr>
              <w:t xml:space="preserve"> during the hours of 8:00 a.m. to 4:30 p.m. C</w:t>
            </w:r>
            <w:r w:rsidR="00B07D6E">
              <w:rPr>
                <w:rFonts w:ascii="Arial" w:hAnsi="Arial" w:cs="Arial"/>
              </w:rPr>
              <w:t>ST</w:t>
            </w:r>
            <w:r w:rsidR="00AD34CD">
              <w:rPr>
                <w:rFonts w:ascii="Arial" w:hAnsi="Arial" w:cs="Arial"/>
              </w:rPr>
              <w:t>/CDT</w:t>
            </w:r>
            <w:r w:rsidRPr="00FC614A">
              <w:rPr>
                <w:rFonts w:ascii="Arial" w:hAnsi="Arial" w:cs="Arial"/>
              </w:rPr>
              <w:t>, Monday</w:t>
            </w:r>
            <w:r>
              <w:rPr>
                <w:rFonts w:ascii="Arial" w:hAnsi="Arial" w:cs="Arial"/>
              </w:rPr>
              <w:t xml:space="preserve"> </w:t>
            </w:r>
            <w:r w:rsidRPr="00FC614A">
              <w:rPr>
                <w:rFonts w:ascii="Arial" w:hAnsi="Arial" w:cs="Arial"/>
              </w:rPr>
              <w:t>through Friday, as required to fulfill the scope of services specified in th</w:t>
            </w:r>
            <w:r w:rsidR="00D93863">
              <w:rPr>
                <w:rFonts w:ascii="Arial" w:hAnsi="Arial" w:cs="Arial"/>
              </w:rPr>
              <w:t>e</w:t>
            </w:r>
            <w:r>
              <w:rPr>
                <w:rFonts w:ascii="Arial" w:hAnsi="Arial" w:cs="Arial"/>
              </w:rPr>
              <w:t xml:space="preserve"> </w:t>
            </w:r>
            <w:r w:rsidRPr="00FC614A">
              <w:rPr>
                <w:rFonts w:ascii="Arial" w:hAnsi="Arial" w:cs="Arial"/>
              </w:rPr>
              <w:t>Contract.</w:t>
            </w:r>
            <w:r w:rsidR="002D08A3">
              <w:rPr>
                <w:rFonts w:ascii="Arial" w:hAnsi="Arial" w:cs="Arial"/>
              </w:rPr>
              <w:t xml:space="preserve"> </w:t>
            </w:r>
            <w:r w:rsidR="00A146AC">
              <w:rPr>
                <w:rFonts w:ascii="Arial" w:hAnsi="Arial" w:cs="Arial"/>
              </w:rPr>
              <w:t>Contractor</w:t>
            </w:r>
            <w:r w:rsidR="002D08A3">
              <w:rPr>
                <w:rFonts w:ascii="Arial" w:hAnsi="Arial" w:cs="Arial"/>
              </w:rPr>
              <w:t xml:space="preserve"> will provide ETF with an emergency contact number in case issues arise that need to be resolved</w:t>
            </w:r>
            <w:r w:rsidR="00D70269">
              <w:rPr>
                <w:rFonts w:ascii="Arial" w:hAnsi="Arial" w:cs="Arial"/>
              </w:rPr>
              <w:t xml:space="preserve"> outside of the aforementioned </w:t>
            </w:r>
            <w:r w:rsidR="002D08A3">
              <w:rPr>
                <w:rFonts w:ascii="Arial" w:hAnsi="Arial" w:cs="Arial"/>
              </w:rPr>
              <w:t>business hours.</w:t>
            </w:r>
          </w:p>
          <w:p w14:paraId="13388101" w14:textId="14A5CCB1" w:rsidR="0054015B" w:rsidRPr="00446723" w:rsidRDefault="0054015B">
            <w:pPr>
              <w:rPr>
                <w:rFonts w:ascii="Arial" w:hAnsi="Arial" w:cs="Arial"/>
                <w:color w:val="000000"/>
              </w:rPr>
            </w:pPr>
            <w:r w:rsidRPr="00FC614A">
              <w:rPr>
                <w:rFonts w:ascii="Arial" w:hAnsi="Arial" w:cs="Arial"/>
              </w:rPr>
              <w:t xml:space="preserve">The </w:t>
            </w:r>
            <w:r>
              <w:rPr>
                <w:rFonts w:ascii="Arial" w:hAnsi="Arial" w:cs="Arial"/>
              </w:rPr>
              <w:t xml:space="preserve">lead </w:t>
            </w:r>
            <w:r w:rsidRPr="00FC614A">
              <w:rPr>
                <w:rFonts w:ascii="Arial" w:hAnsi="Arial" w:cs="Arial"/>
              </w:rPr>
              <w:t>Account</w:t>
            </w:r>
            <w:r>
              <w:rPr>
                <w:rFonts w:ascii="Arial" w:hAnsi="Arial" w:cs="Arial"/>
              </w:rPr>
              <w:t xml:space="preserve"> </w:t>
            </w:r>
            <w:r w:rsidRPr="00FC614A">
              <w:rPr>
                <w:rFonts w:ascii="Arial" w:hAnsi="Arial" w:cs="Arial"/>
              </w:rPr>
              <w:t xml:space="preserve">Manager </w:t>
            </w:r>
            <w:r>
              <w:rPr>
                <w:rFonts w:ascii="Arial" w:hAnsi="Arial" w:cs="Arial"/>
              </w:rPr>
              <w:t xml:space="preserve">must </w:t>
            </w:r>
            <w:r w:rsidRPr="00FC614A">
              <w:rPr>
                <w:rFonts w:ascii="Arial" w:hAnsi="Arial" w:cs="Arial"/>
              </w:rPr>
              <w:t>have the responsibility and</w:t>
            </w:r>
            <w:r>
              <w:rPr>
                <w:rFonts w:ascii="Arial" w:hAnsi="Arial" w:cs="Arial"/>
              </w:rPr>
              <w:t xml:space="preserve"> </w:t>
            </w:r>
            <w:r w:rsidRPr="00FC614A">
              <w:rPr>
                <w:rFonts w:ascii="Arial" w:hAnsi="Arial" w:cs="Arial"/>
              </w:rPr>
              <w:t>authority to manage the entire range of services specified in th</w:t>
            </w:r>
            <w:r w:rsidR="00D93863">
              <w:rPr>
                <w:rFonts w:ascii="Arial" w:hAnsi="Arial" w:cs="Arial"/>
              </w:rPr>
              <w:t>e</w:t>
            </w:r>
            <w:r w:rsidRPr="00FC614A">
              <w:rPr>
                <w:rFonts w:ascii="Arial" w:hAnsi="Arial" w:cs="Arial"/>
              </w:rPr>
              <w:t xml:space="preserve"> Contract and</w:t>
            </w:r>
            <w:r>
              <w:rPr>
                <w:rFonts w:ascii="Arial" w:hAnsi="Arial" w:cs="Arial"/>
              </w:rPr>
              <w:t xml:space="preserve"> will</w:t>
            </w:r>
            <w:r w:rsidRPr="00FC614A">
              <w:rPr>
                <w:rFonts w:ascii="Arial" w:hAnsi="Arial" w:cs="Arial"/>
              </w:rPr>
              <w:t xml:space="preserve"> respond promptly to changes </w:t>
            </w:r>
            <w:r w:rsidR="00D93863">
              <w:rPr>
                <w:rFonts w:ascii="Arial" w:hAnsi="Arial" w:cs="Arial"/>
              </w:rPr>
              <w:t>to</w:t>
            </w:r>
            <w:r w:rsidRPr="00FC614A">
              <w:rPr>
                <w:rFonts w:ascii="Arial" w:hAnsi="Arial" w:cs="Arial"/>
              </w:rPr>
              <w:t xml:space="preserve"> </w:t>
            </w:r>
            <w:r w:rsidR="004A04E9">
              <w:rPr>
                <w:rFonts w:ascii="Arial" w:hAnsi="Arial" w:cs="Arial"/>
              </w:rPr>
              <w:t xml:space="preserve">ETF’s </w:t>
            </w:r>
            <w:r w:rsidRPr="00FC614A">
              <w:rPr>
                <w:rFonts w:ascii="Arial" w:hAnsi="Arial" w:cs="Arial"/>
              </w:rPr>
              <w:t>benefit plan design, changes in procedures,</w:t>
            </w:r>
            <w:r>
              <w:rPr>
                <w:rFonts w:ascii="Arial" w:hAnsi="Arial" w:cs="Arial"/>
              </w:rPr>
              <w:t xml:space="preserve"> </w:t>
            </w:r>
            <w:r w:rsidRPr="00FC614A">
              <w:rPr>
                <w:rFonts w:ascii="Arial" w:hAnsi="Arial" w:cs="Arial"/>
              </w:rPr>
              <w:t xml:space="preserve">or general administrative problems identified by </w:t>
            </w:r>
            <w:r>
              <w:rPr>
                <w:rFonts w:ascii="Arial" w:hAnsi="Arial" w:cs="Arial"/>
              </w:rPr>
              <w:t>ETF</w:t>
            </w:r>
            <w:r w:rsidRPr="00FC614A">
              <w:rPr>
                <w:rFonts w:ascii="Arial" w:hAnsi="Arial" w:cs="Arial"/>
              </w:rPr>
              <w:t xml:space="preserve">. </w:t>
            </w:r>
          </w:p>
        </w:tc>
      </w:tr>
      <w:tr w:rsidR="00B07D6E" w:rsidRPr="00446723" w14:paraId="6D2AE175" w14:textId="77777777" w:rsidTr="00410419">
        <w:tc>
          <w:tcPr>
            <w:tcW w:w="535" w:type="dxa"/>
          </w:tcPr>
          <w:p w14:paraId="44120469" w14:textId="77777777" w:rsidR="00B07D6E" w:rsidRDefault="00B07D6E" w:rsidP="00F01E1A">
            <w:pPr>
              <w:pStyle w:val="ListParagraph"/>
              <w:numPr>
                <w:ilvl w:val="0"/>
                <w:numId w:val="21"/>
              </w:numPr>
            </w:pPr>
          </w:p>
        </w:tc>
        <w:tc>
          <w:tcPr>
            <w:tcW w:w="8815" w:type="dxa"/>
          </w:tcPr>
          <w:p w14:paraId="7416E774" w14:textId="13EFC309" w:rsidR="00B07D6E" w:rsidRDefault="00B07D6E" w:rsidP="00B07D6E">
            <w:pPr>
              <w:rPr>
                <w:rFonts w:ascii="Arial" w:hAnsi="Arial" w:cs="Arial"/>
              </w:rPr>
            </w:pPr>
            <w:r>
              <w:rPr>
                <w:rFonts w:ascii="Arial" w:hAnsi="Arial" w:cs="Arial"/>
              </w:rPr>
              <w:t xml:space="preserve">The </w:t>
            </w:r>
            <w:r w:rsidR="00A146AC">
              <w:rPr>
                <w:rFonts w:ascii="Arial" w:hAnsi="Arial" w:cs="Arial"/>
              </w:rPr>
              <w:t>Contractor</w:t>
            </w:r>
            <w:r w:rsidRPr="00E71BCD">
              <w:rPr>
                <w:rFonts w:ascii="Arial" w:hAnsi="Arial" w:cs="Arial"/>
              </w:rPr>
              <w:t xml:space="preserve"> must have a </w:t>
            </w:r>
            <w:r>
              <w:rPr>
                <w:rFonts w:ascii="Arial" w:hAnsi="Arial" w:cs="Arial"/>
              </w:rPr>
              <w:t>designated Information Technology contact</w:t>
            </w:r>
            <w:r w:rsidR="00D17B2A">
              <w:rPr>
                <w:rFonts w:ascii="Arial" w:hAnsi="Arial" w:cs="Arial"/>
              </w:rPr>
              <w:t xml:space="preserve"> </w:t>
            </w:r>
            <w:r w:rsidR="00D17B2A" w:rsidRPr="00E71BCD">
              <w:rPr>
                <w:rFonts w:ascii="Arial" w:hAnsi="Arial" w:cs="Arial"/>
              </w:rPr>
              <w:t xml:space="preserve">and a backup </w:t>
            </w:r>
            <w:r w:rsidR="00D17B2A">
              <w:rPr>
                <w:rFonts w:ascii="Arial" w:hAnsi="Arial" w:cs="Arial"/>
              </w:rPr>
              <w:t xml:space="preserve">Information Technology contact </w:t>
            </w:r>
            <w:r>
              <w:rPr>
                <w:rFonts w:ascii="Arial" w:hAnsi="Arial" w:cs="Arial"/>
              </w:rPr>
              <w:t>who will have overall responsibility for the information technology aspects of the Contract.</w:t>
            </w:r>
          </w:p>
          <w:p w14:paraId="024005CB" w14:textId="1FC4B155" w:rsidR="00B07D6E" w:rsidRPr="00E71BCD" w:rsidRDefault="00B07D6E" w:rsidP="00D70269">
            <w:pPr>
              <w:rPr>
                <w:rFonts w:ascii="Arial" w:hAnsi="Arial" w:cs="Arial"/>
              </w:rPr>
            </w:pPr>
            <w:r w:rsidRPr="00FC614A">
              <w:rPr>
                <w:rFonts w:ascii="Arial" w:hAnsi="Arial" w:cs="Arial"/>
              </w:rPr>
              <w:t xml:space="preserve">The </w:t>
            </w:r>
            <w:r>
              <w:rPr>
                <w:rFonts w:ascii="Arial" w:hAnsi="Arial" w:cs="Arial"/>
              </w:rPr>
              <w:t>Information Technology contact</w:t>
            </w:r>
            <w:r w:rsidRPr="00FC614A">
              <w:rPr>
                <w:rFonts w:ascii="Arial" w:hAnsi="Arial" w:cs="Arial"/>
              </w:rPr>
              <w:t xml:space="preserve"> shall be available for consultation with </w:t>
            </w:r>
            <w:r>
              <w:rPr>
                <w:rFonts w:ascii="Arial" w:hAnsi="Arial" w:cs="Arial"/>
              </w:rPr>
              <w:t>ETF</w:t>
            </w:r>
            <w:r w:rsidRPr="00FC614A">
              <w:rPr>
                <w:rFonts w:ascii="Arial" w:hAnsi="Arial" w:cs="Arial"/>
              </w:rPr>
              <w:t xml:space="preserve"> during the hours of 8:00 a.m. to 4:30 p.m. CST</w:t>
            </w:r>
            <w:r w:rsidR="00AD34CD">
              <w:rPr>
                <w:rFonts w:ascii="Arial" w:hAnsi="Arial" w:cs="Arial"/>
              </w:rPr>
              <w:t>/CDT</w:t>
            </w:r>
            <w:r w:rsidRPr="00FC614A">
              <w:rPr>
                <w:rFonts w:ascii="Arial" w:hAnsi="Arial" w:cs="Arial"/>
              </w:rPr>
              <w:t>, Monday</w:t>
            </w:r>
            <w:r>
              <w:rPr>
                <w:rFonts w:ascii="Arial" w:hAnsi="Arial" w:cs="Arial"/>
              </w:rPr>
              <w:t xml:space="preserve"> </w:t>
            </w:r>
            <w:r w:rsidRPr="00FC614A">
              <w:rPr>
                <w:rFonts w:ascii="Arial" w:hAnsi="Arial" w:cs="Arial"/>
              </w:rPr>
              <w:t>through Friday, as required to fulfill the scope of services specified in th</w:t>
            </w:r>
            <w:r w:rsidR="00D93863">
              <w:rPr>
                <w:rFonts w:ascii="Arial" w:hAnsi="Arial" w:cs="Arial"/>
              </w:rPr>
              <w:t>e</w:t>
            </w:r>
            <w:r>
              <w:rPr>
                <w:rFonts w:ascii="Arial" w:hAnsi="Arial" w:cs="Arial"/>
              </w:rPr>
              <w:t xml:space="preserve"> </w:t>
            </w:r>
            <w:r w:rsidRPr="00FC614A">
              <w:rPr>
                <w:rFonts w:ascii="Arial" w:hAnsi="Arial" w:cs="Arial"/>
              </w:rPr>
              <w:t>Contract.</w:t>
            </w:r>
            <w:r w:rsidR="002D08A3">
              <w:rPr>
                <w:rFonts w:ascii="Arial" w:hAnsi="Arial" w:cs="Arial"/>
              </w:rPr>
              <w:t xml:space="preserve"> </w:t>
            </w:r>
            <w:r w:rsidR="00A146AC">
              <w:rPr>
                <w:rFonts w:ascii="Arial" w:hAnsi="Arial" w:cs="Arial"/>
              </w:rPr>
              <w:t>Contractor</w:t>
            </w:r>
            <w:r w:rsidR="002D08A3">
              <w:rPr>
                <w:rFonts w:ascii="Arial" w:hAnsi="Arial" w:cs="Arial"/>
              </w:rPr>
              <w:t xml:space="preserve"> will provide ETF with an emergency contact number in case issues arise that need to be resolved outsi</w:t>
            </w:r>
            <w:r w:rsidR="00D70269">
              <w:rPr>
                <w:rFonts w:ascii="Arial" w:hAnsi="Arial" w:cs="Arial"/>
              </w:rPr>
              <w:t xml:space="preserve">de of the aforementioned </w:t>
            </w:r>
            <w:r w:rsidR="002D08A3">
              <w:rPr>
                <w:rFonts w:ascii="Arial" w:hAnsi="Arial" w:cs="Arial"/>
              </w:rPr>
              <w:t>business hours.</w:t>
            </w:r>
          </w:p>
        </w:tc>
      </w:tr>
      <w:tr w:rsidR="0054015B" w:rsidRPr="00446723" w14:paraId="2B2586A6" w14:textId="77777777" w:rsidTr="00410419">
        <w:tc>
          <w:tcPr>
            <w:tcW w:w="535" w:type="dxa"/>
          </w:tcPr>
          <w:p w14:paraId="6679D2D3" w14:textId="2DBA35AB" w:rsidR="0054015B" w:rsidRDefault="0054015B" w:rsidP="00F01E1A">
            <w:pPr>
              <w:pStyle w:val="ListParagraph"/>
              <w:numPr>
                <w:ilvl w:val="0"/>
                <w:numId w:val="21"/>
              </w:numPr>
            </w:pPr>
          </w:p>
        </w:tc>
        <w:tc>
          <w:tcPr>
            <w:tcW w:w="8815" w:type="dxa"/>
          </w:tcPr>
          <w:p w14:paraId="6A99D8F8" w14:textId="4318FEB2" w:rsidR="0054015B" w:rsidRPr="00446723" w:rsidRDefault="0054015B">
            <w:pPr>
              <w:rPr>
                <w:rFonts w:ascii="Arial" w:hAnsi="Arial" w:cs="Arial"/>
              </w:rPr>
            </w:pPr>
            <w:r w:rsidRPr="00E71BCD">
              <w:rPr>
                <w:rFonts w:ascii="Arial" w:hAnsi="Arial" w:cs="Arial"/>
              </w:rPr>
              <w:t xml:space="preserve">There must be a central point of contact at the </w:t>
            </w:r>
            <w:r w:rsidR="00A146AC">
              <w:rPr>
                <w:rFonts w:ascii="Arial" w:hAnsi="Arial" w:cs="Arial"/>
              </w:rPr>
              <w:t>Contractor</w:t>
            </w:r>
            <w:r w:rsidRPr="00E71BCD">
              <w:rPr>
                <w:rFonts w:ascii="Arial" w:hAnsi="Arial" w:cs="Arial"/>
              </w:rPr>
              <w:t xml:space="preserve"> for employer issues related to the program</w:t>
            </w:r>
            <w:r w:rsidR="00D93863">
              <w:rPr>
                <w:rFonts w:ascii="Arial" w:hAnsi="Arial" w:cs="Arial"/>
              </w:rPr>
              <w:t>s</w:t>
            </w:r>
            <w:r w:rsidRPr="00E71BCD">
              <w:rPr>
                <w:rFonts w:ascii="Arial" w:hAnsi="Arial" w:cs="Arial"/>
              </w:rPr>
              <w:t xml:space="preserve"> (i.e., questions about incentive payments or eligibility issues, etc.). The </w:t>
            </w:r>
            <w:r w:rsidR="00A146AC">
              <w:rPr>
                <w:rFonts w:ascii="Arial" w:hAnsi="Arial" w:cs="Arial"/>
              </w:rPr>
              <w:t>Contractor</w:t>
            </w:r>
            <w:r w:rsidRPr="00E71BCD">
              <w:rPr>
                <w:rFonts w:ascii="Arial" w:hAnsi="Arial" w:cs="Arial"/>
              </w:rPr>
              <w:t xml:space="preserve"> must</w:t>
            </w:r>
            <w:r w:rsidR="008A4597">
              <w:rPr>
                <w:rFonts w:ascii="Arial" w:hAnsi="Arial" w:cs="Arial"/>
              </w:rPr>
              <w:t xml:space="preserve"> acknowledge receipt of the inquiry from the</w:t>
            </w:r>
            <w:r w:rsidRPr="00E71BCD">
              <w:rPr>
                <w:rFonts w:ascii="Arial" w:hAnsi="Arial" w:cs="Arial"/>
              </w:rPr>
              <w:t xml:space="preserve"> payroll processing centers and/or </w:t>
            </w:r>
            <w:r w:rsidR="00D93863">
              <w:rPr>
                <w:rFonts w:ascii="Arial" w:hAnsi="Arial" w:cs="Arial"/>
              </w:rPr>
              <w:t>employer</w:t>
            </w:r>
            <w:r w:rsidRPr="00E71BCD">
              <w:rPr>
                <w:rFonts w:ascii="Arial" w:hAnsi="Arial" w:cs="Arial"/>
              </w:rPr>
              <w:t xml:space="preserve"> payroll staff within </w:t>
            </w:r>
            <w:r w:rsidR="00D93863">
              <w:rPr>
                <w:rFonts w:ascii="Arial" w:hAnsi="Arial" w:cs="Arial"/>
              </w:rPr>
              <w:t>two</w:t>
            </w:r>
            <w:r w:rsidRPr="00E71BCD">
              <w:rPr>
                <w:rFonts w:ascii="Arial" w:hAnsi="Arial" w:cs="Arial"/>
              </w:rPr>
              <w:t xml:space="preserve"> (</w:t>
            </w:r>
            <w:r w:rsidR="00D93863">
              <w:rPr>
                <w:rFonts w:ascii="Arial" w:hAnsi="Arial" w:cs="Arial"/>
              </w:rPr>
              <w:t>2</w:t>
            </w:r>
            <w:r w:rsidRPr="00E71BCD">
              <w:rPr>
                <w:rFonts w:ascii="Arial" w:hAnsi="Arial" w:cs="Arial"/>
              </w:rPr>
              <w:t>)</w:t>
            </w:r>
            <w:r w:rsidR="00D93863">
              <w:rPr>
                <w:rFonts w:ascii="Arial" w:hAnsi="Arial" w:cs="Arial"/>
              </w:rPr>
              <w:t xml:space="preserve"> Business Days</w:t>
            </w:r>
            <w:r w:rsidRPr="00E71BCD">
              <w:rPr>
                <w:rFonts w:ascii="Arial" w:hAnsi="Arial" w:cs="Arial"/>
              </w:rPr>
              <w:t xml:space="preserve"> of the inquiry</w:t>
            </w:r>
            <w:r w:rsidR="008A4597">
              <w:rPr>
                <w:rFonts w:ascii="Arial" w:hAnsi="Arial" w:cs="Arial"/>
              </w:rPr>
              <w:t xml:space="preserve"> and actively communicate on issue resolution status with the </w:t>
            </w:r>
            <w:r w:rsidR="008A4597" w:rsidRPr="00E71BCD">
              <w:rPr>
                <w:rFonts w:ascii="Arial" w:hAnsi="Arial" w:cs="Arial"/>
              </w:rPr>
              <w:t>payroll processing centers and/or agency payroll</w:t>
            </w:r>
            <w:r w:rsidR="008A4597">
              <w:rPr>
                <w:rFonts w:ascii="Arial" w:hAnsi="Arial" w:cs="Arial"/>
              </w:rPr>
              <w:t>.</w:t>
            </w:r>
          </w:p>
        </w:tc>
      </w:tr>
      <w:tr w:rsidR="0054015B" w:rsidRPr="00446723" w14:paraId="3ED5542C" w14:textId="77777777" w:rsidTr="00410419">
        <w:tc>
          <w:tcPr>
            <w:tcW w:w="535" w:type="dxa"/>
          </w:tcPr>
          <w:p w14:paraId="1750B742" w14:textId="77777777" w:rsidR="0054015B" w:rsidRDefault="0054015B" w:rsidP="00F01E1A">
            <w:pPr>
              <w:pStyle w:val="ListParagraph"/>
              <w:numPr>
                <w:ilvl w:val="0"/>
                <w:numId w:val="21"/>
              </w:numPr>
            </w:pPr>
          </w:p>
        </w:tc>
        <w:tc>
          <w:tcPr>
            <w:tcW w:w="8815" w:type="dxa"/>
          </w:tcPr>
          <w:p w14:paraId="0E932A95" w14:textId="0352CFAB" w:rsidR="0054015B" w:rsidRPr="00E71BCD" w:rsidRDefault="0054015B" w:rsidP="004A04E9">
            <w:pPr>
              <w:rPr>
                <w:rFonts w:ascii="Arial" w:hAnsi="Arial" w:cs="Arial"/>
              </w:rPr>
            </w:pPr>
            <w:r w:rsidRPr="00DE0194">
              <w:rPr>
                <w:rFonts w:ascii="Arial" w:hAnsi="Arial" w:cs="Arial"/>
              </w:rPr>
              <w:t xml:space="preserve">The </w:t>
            </w:r>
            <w:r w:rsidR="00A146AC">
              <w:rPr>
                <w:rFonts w:ascii="Arial" w:hAnsi="Arial" w:cs="Arial"/>
              </w:rPr>
              <w:t>Contractor</w:t>
            </w:r>
            <w:r w:rsidRPr="00DE0194">
              <w:rPr>
                <w:rFonts w:ascii="Arial" w:hAnsi="Arial" w:cs="Arial"/>
              </w:rPr>
              <w:t xml:space="preserve"> mus</w:t>
            </w:r>
            <w:r w:rsidR="004B5F57">
              <w:rPr>
                <w:rFonts w:ascii="Arial" w:hAnsi="Arial" w:cs="Arial"/>
              </w:rPr>
              <w:t>t ensure that all staff receive</w:t>
            </w:r>
            <w:r w:rsidRPr="00DE0194">
              <w:rPr>
                <w:rFonts w:ascii="Arial" w:hAnsi="Arial" w:cs="Arial"/>
              </w:rPr>
              <w:t xml:space="preserve"> initial and ongoing training regarding all applicable requirements of th</w:t>
            </w:r>
            <w:r w:rsidR="00D93863">
              <w:rPr>
                <w:rFonts w:ascii="Arial" w:hAnsi="Arial" w:cs="Arial"/>
              </w:rPr>
              <w:t>e</w:t>
            </w:r>
            <w:r w:rsidRPr="00DE0194">
              <w:rPr>
                <w:rFonts w:ascii="Arial" w:hAnsi="Arial" w:cs="Arial"/>
              </w:rPr>
              <w:t xml:space="preserve"> Contract. The </w:t>
            </w:r>
            <w:r w:rsidR="00A146AC">
              <w:rPr>
                <w:rFonts w:ascii="Arial" w:hAnsi="Arial" w:cs="Arial"/>
              </w:rPr>
              <w:t>Contractor</w:t>
            </w:r>
            <w:r w:rsidRPr="00DE0194">
              <w:rPr>
                <w:rFonts w:ascii="Arial" w:hAnsi="Arial" w:cs="Arial"/>
              </w:rPr>
              <w:t xml:space="preserve"> will ensure that </w:t>
            </w:r>
            <w:r w:rsidR="00D93863">
              <w:rPr>
                <w:rFonts w:ascii="Arial" w:hAnsi="Arial" w:cs="Arial"/>
              </w:rPr>
              <w:t xml:space="preserve">the </w:t>
            </w:r>
            <w:r w:rsidR="00A146AC">
              <w:rPr>
                <w:rFonts w:ascii="Arial" w:hAnsi="Arial" w:cs="Arial"/>
              </w:rPr>
              <w:t>Contractor</w:t>
            </w:r>
            <w:r w:rsidR="00D93863">
              <w:rPr>
                <w:rFonts w:ascii="Arial" w:hAnsi="Arial" w:cs="Arial"/>
              </w:rPr>
              <w:t xml:space="preserve"> </w:t>
            </w:r>
            <w:r w:rsidRPr="00DE0194">
              <w:rPr>
                <w:rFonts w:ascii="Arial" w:hAnsi="Arial" w:cs="Arial"/>
              </w:rPr>
              <w:t xml:space="preserve">staff who provide </w:t>
            </w:r>
            <w:r w:rsidR="004A04E9">
              <w:rPr>
                <w:rFonts w:ascii="Arial" w:hAnsi="Arial" w:cs="Arial"/>
              </w:rPr>
              <w:t>S</w:t>
            </w:r>
            <w:r w:rsidR="004A04E9" w:rsidRPr="00DE0194">
              <w:rPr>
                <w:rFonts w:ascii="Arial" w:hAnsi="Arial" w:cs="Arial"/>
              </w:rPr>
              <w:t xml:space="preserve">ervices </w:t>
            </w:r>
            <w:r w:rsidRPr="00DE0194">
              <w:rPr>
                <w:rFonts w:ascii="Arial" w:hAnsi="Arial" w:cs="Arial"/>
              </w:rPr>
              <w:t>under th</w:t>
            </w:r>
            <w:r w:rsidR="00D93863">
              <w:rPr>
                <w:rFonts w:ascii="Arial" w:hAnsi="Arial" w:cs="Arial"/>
              </w:rPr>
              <w:t>e</w:t>
            </w:r>
            <w:r w:rsidRPr="00DE0194">
              <w:rPr>
                <w:rFonts w:ascii="Arial" w:hAnsi="Arial" w:cs="Arial"/>
              </w:rPr>
              <w:t xml:space="preserve"> Contract have received comprehensive orientations and training regarding their functions, are knowledgeable about the </w:t>
            </w:r>
            <w:r w:rsidR="00A146AC">
              <w:rPr>
                <w:rFonts w:ascii="Arial" w:hAnsi="Arial" w:cs="Arial"/>
              </w:rPr>
              <w:t>Contractor</w:t>
            </w:r>
            <w:r w:rsidRPr="00DE0194">
              <w:rPr>
                <w:rFonts w:ascii="Arial" w:hAnsi="Arial" w:cs="Arial"/>
              </w:rPr>
              <w:t>’s operations relating to the Contract, and are knowledgeable about their functions and how those functions relate to the requirements of th</w:t>
            </w:r>
            <w:r w:rsidR="00D93863">
              <w:rPr>
                <w:rFonts w:ascii="Arial" w:hAnsi="Arial" w:cs="Arial"/>
              </w:rPr>
              <w:t>e</w:t>
            </w:r>
            <w:r w:rsidRPr="00DE0194">
              <w:rPr>
                <w:rFonts w:ascii="Arial" w:hAnsi="Arial" w:cs="Arial"/>
              </w:rPr>
              <w:t xml:space="preserve"> Contract.</w:t>
            </w:r>
          </w:p>
        </w:tc>
      </w:tr>
      <w:tr w:rsidR="00727801" w:rsidRPr="00446723" w14:paraId="3000B1D8" w14:textId="77777777" w:rsidTr="00410419">
        <w:tc>
          <w:tcPr>
            <w:tcW w:w="535" w:type="dxa"/>
          </w:tcPr>
          <w:p w14:paraId="02314C45" w14:textId="77777777" w:rsidR="00727801" w:rsidRDefault="00727801" w:rsidP="00F01E1A">
            <w:pPr>
              <w:pStyle w:val="ListParagraph"/>
              <w:numPr>
                <w:ilvl w:val="0"/>
                <w:numId w:val="21"/>
              </w:numPr>
            </w:pPr>
          </w:p>
        </w:tc>
        <w:tc>
          <w:tcPr>
            <w:tcW w:w="8815" w:type="dxa"/>
          </w:tcPr>
          <w:p w14:paraId="3847A7E4" w14:textId="6157BEF3" w:rsidR="00727801" w:rsidRPr="00DE0194" w:rsidRDefault="00727801" w:rsidP="00BD0A63">
            <w:pPr>
              <w:rPr>
                <w:rFonts w:ascii="Arial" w:hAnsi="Arial" w:cs="Arial"/>
              </w:rPr>
            </w:pPr>
            <w:r w:rsidRPr="005D0014">
              <w:rPr>
                <w:rFonts w:ascii="Arial" w:hAnsi="Arial" w:cs="Arial"/>
              </w:rPr>
              <w:t xml:space="preserve">The </w:t>
            </w:r>
            <w:r w:rsidR="00A146AC">
              <w:rPr>
                <w:rFonts w:ascii="Arial" w:hAnsi="Arial" w:cs="Arial"/>
              </w:rPr>
              <w:t>Contractor</w:t>
            </w:r>
            <w:r w:rsidRPr="005D0014">
              <w:rPr>
                <w:rFonts w:ascii="Arial" w:hAnsi="Arial" w:cs="Arial"/>
              </w:rPr>
              <w:t xml:space="preserve"> must meet the performance standards for </w:t>
            </w:r>
            <w:r>
              <w:rPr>
                <w:rFonts w:ascii="Arial" w:hAnsi="Arial" w:cs="Arial"/>
              </w:rPr>
              <w:t>Staffing</w:t>
            </w:r>
            <w:r w:rsidRPr="005D0014">
              <w:rPr>
                <w:rFonts w:ascii="Arial" w:hAnsi="Arial" w:cs="Arial"/>
              </w:rPr>
              <w:t xml:space="preserve"> detailed in </w:t>
            </w:r>
            <w:r w:rsidR="003A4BE4">
              <w:rPr>
                <w:rFonts w:ascii="Arial" w:hAnsi="Arial" w:cs="Arial"/>
              </w:rPr>
              <w:t xml:space="preserve">Appendix </w:t>
            </w:r>
            <w:r w:rsidR="00BD0A63">
              <w:rPr>
                <w:rFonts w:ascii="Arial" w:hAnsi="Arial" w:cs="Arial"/>
              </w:rPr>
              <w:t>7</w:t>
            </w:r>
            <w:r w:rsidR="003A4BE4">
              <w:rPr>
                <w:rFonts w:ascii="Arial" w:hAnsi="Arial" w:cs="Arial"/>
              </w:rPr>
              <w:t xml:space="preserve"> Performance Standards</w:t>
            </w:r>
            <w:r w:rsidRPr="005D0014">
              <w:rPr>
                <w:rFonts w:ascii="Arial" w:hAnsi="Arial" w:cs="Arial"/>
              </w:rPr>
              <w:t>.</w:t>
            </w:r>
          </w:p>
        </w:tc>
      </w:tr>
    </w:tbl>
    <w:p w14:paraId="252DF15C" w14:textId="5AFF39BF" w:rsidR="00F57731" w:rsidRDefault="00F57731" w:rsidP="00644C74">
      <w:pPr>
        <w:pStyle w:val="Heading2"/>
        <w:ind w:hanging="1926"/>
      </w:pPr>
      <w:r>
        <w:t>C</w:t>
      </w:r>
      <w:r w:rsidR="007D2C86">
        <w:t>ustomer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E75806" w14:paraId="429E4A9F" w14:textId="77777777" w:rsidTr="0059128F">
        <w:tc>
          <w:tcPr>
            <w:tcW w:w="535" w:type="dxa"/>
          </w:tcPr>
          <w:p w14:paraId="628FF7C6" w14:textId="77777777" w:rsidR="00E75806" w:rsidRDefault="00E75806" w:rsidP="00F01E1A">
            <w:pPr>
              <w:pStyle w:val="ListParagraph"/>
              <w:numPr>
                <w:ilvl w:val="0"/>
                <w:numId w:val="45"/>
              </w:numPr>
            </w:pPr>
          </w:p>
        </w:tc>
        <w:tc>
          <w:tcPr>
            <w:tcW w:w="8815" w:type="dxa"/>
            <w:vAlign w:val="bottom"/>
          </w:tcPr>
          <w:p w14:paraId="48215A9E" w14:textId="2644F8FD" w:rsidR="00E75806" w:rsidRPr="00446723" w:rsidRDefault="00E75806" w:rsidP="00E46012">
            <w:pPr>
              <w:rPr>
                <w:rFonts w:ascii="Arial" w:hAnsi="Arial" w:cs="Arial"/>
                <w:color w:val="000000"/>
              </w:rPr>
            </w:pPr>
            <w:r w:rsidRPr="00E75806">
              <w:rPr>
                <w:rFonts w:ascii="Arial" w:hAnsi="Arial" w:cs="Arial"/>
                <w:color w:val="000000"/>
              </w:rPr>
              <w:t xml:space="preserve">The </w:t>
            </w:r>
            <w:r w:rsidR="00A146AC">
              <w:rPr>
                <w:rFonts w:ascii="Arial" w:hAnsi="Arial" w:cs="Arial"/>
                <w:color w:val="000000"/>
              </w:rPr>
              <w:t>Contractor</w:t>
            </w:r>
            <w:r w:rsidRPr="00446723">
              <w:rPr>
                <w:rFonts w:ascii="Arial" w:hAnsi="Arial" w:cs="Arial"/>
                <w:color w:val="000000"/>
              </w:rPr>
              <w:t xml:space="preserve"> must have </w:t>
            </w:r>
            <w:r>
              <w:rPr>
                <w:rFonts w:ascii="Arial" w:hAnsi="Arial" w:cs="Arial"/>
                <w:color w:val="000000"/>
              </w:rPr>
              <w:t xml:space="preserve">sufficient </w:t>
            </w:r>
            <w:r w:rsidR="004A04E9">
              <w:rPr>
                <w:rFonts w:ascii="Arial" w:hAnsi="Arial" w:cs="Arial"/>
                <w:color w:val="000000"/>
              </w:rPr>
              <w:t xml:space="preserve">trained and equipped </w:t>
            </w:r>
            <w:r w:rsidR="004F546C">
              <w:rPr>
                <w:rFonts w:ascii="Arial" w:hAnsi="Arial" w:cs="Arial"/>
                <w:color w:val="000000"/>
              </w:rPr>
              <w:t>c</w:t>
            </w:r>
            <w:r w:rsidRPr="00446723">
              <w:rPr>
                <w:rFonts w:ascii="Arial" w:hAnsi="Arial" w:cs="Arial"/>
                <w:color w:val="000000"/>
              </w:rPr>
              <w:t xml:space="preserve">ustomer </w:t>
            </w:r>
            <w:r w:rsidR="004F546C">
              <w:rPr>
                <w:rFonts w:ascii="Arial" w:hAnsi="Arial" w:cs="Arial"/>
                <w:color w:val="000000"/>
              </w:rPr>
              <w:t>s</w:t>
            </w:r>
            <w:r w:rsidRPr="00446723">
              <w:rPr>
                <w:rFonts w:ascii="Arial" w:hAnsi="Arial" w:cs="Arial"/>
                <w:color w:val="000000"/>
              </w:rPr>
              <w:t xml:space="preserve">ervice </w:t>
            </w:r>
            <w:r w:rsidR="004F546C">
              <w:rPr>
                <w:rFonts w:ascii="Arial" w:hAnsi="Arial" w:cs="Arial"/>
                <w:color w:val="000000"/>
              </w:rPr>
              <w:t>s</w:t>
            </w:r>
            <w:r w:rsidRPr="00446723">
              <w:rPr>
                <w:rFonts w:ascii="Arial" w:hAnsi="Arial" w:cs="Arial"/>
                <w:color w:val="000000"/>
              </w:rPr>
              <w:t xml:space="preserve">taff </w:t>
            </w:r>
            <w:r w:rsidR="00D17B2A">
              <w:rPr>
                <w:rFonts w:ascii="Arial" w:hAnsi="Arial" w:cs="Arial"/>
                <w:color w:val="000000"/>
              </w:rPr>
              <w:t xml:space="preserve">and a </w:t>
            </w:r>
            <w:r w:rsidRPr="00446723">
              <w:rPr>
                <w:rFonts w:ascii="Arial" w:hAnsi="Arial" w:cs="Arial"/>
                <w:color w:val="000000"/>
              </w:rPr>
              <w:t xml:space="preserve">dedicated </w:t>
            </w:r>
            <w:r w:rsidR="00DB7BAB">
              <w:rPr>
                <w:rFonts w:ascii="Arial" w:hAnsi="Arial" w:cs="Arial"/>
                <w:color w:val="000000"/>
              </w:rPr>
              <w:t>toll free number</w:t>
            </w:r>
            <w:r w:rsidR="00D17B2A">
              <w:rPr>
                <w:rFonts w:ascii="Arial" w:hAnsi="Arial" w:cs="Arial"/>
                <w:color w:val="000000"/>
              </w:rPr>
              <w:t xml:space="preserve"> for</w:t>
            </w:r>
            <w:r w:rsidRPr="00446723">
              <w:rPr>
                <w:rFonts w:ascii="Arial" w:hAnsi="Arial" w:cs="Arial"/>
                <w:color w:val="000000"/>
              </w:rPr>
              <w:t xml:space="preserve"> </w:t>
            </w:r>
            <w:r w:rsidR="00D93863">
              <w:rPr>
                <w:rFonts w:ascii="Arial" w:hAnsi="Arial" w:cs="Arial"/>
                <w:color w:val="000000"/>
              </w:rPr>
              <w:t xml:space="preserve">ETF’s program and its </w:t>
            </w:r>
            <w:r w:rsidR="00E46012">
              <w:rPr>
                <w:rFonts w:ascii="Arial" w:hAnsi="Arial" w:cs="Arial"/>
                <w:color w:val="000000"/>
              </w:rPr>
              <w:t xml:space="preserve">Members </w:t>
            </w:r>
            <w:r w:rsidR="00D93863">
              <w:rPr>
                <w:rFonts w:ascii="Arial" w:hAnsi="Arial" w:cs="Arial"/>
                <w:color w:val="000000"/>
              </w:rPr>
              <w:t xml:space="preserve">to </w:t>
            </w:r>
            <w:r>
              <w:rPr>
                <w:rFonts w:ascii="Arial" w:hAnsi="Arial" w:cs="Arial"/>
                <w:color w:val="000000"/>
              </w:rPr>
              <w:t>r</w:t>
            </w:r>
            <w:r w:rsidRPr="00E75806">
              <w:rPr>
                <w:rFonts w:ascii="Arial" w:hAnsi="Arial" w:cs="Arial"/>
                <w:color w:val="000000"/>
              </w:rPr>
              <w:t xml:space="preserve">espond to inquiries, correspondence, complaints, and </w:t>
            </w:r>
            <w:r w:rsidR="004F546C">
              <w:rPr>
                <w:rFonts w:ascii="Arial" w:hAnsi="Arial" w:cs="Arial"/>
                <w:color w:val="000000"/>
              </w:rPr>
              <w:t>issues</w:t>
            </w:r>
            <w:r w:rsidRPr="00E75806">
              <w:rPr>
                <w:rFonts w:ascii="Arial" w:hAnsi="Arial" w:cs="Arial"/>
                <w:color w:val="000000"/>
              </w:rPr>
              <w:t xml:space="preserve">. Responsibilities include, but are not limited to, scheduling biometric screening appointments, assisting </w:t>
            </w:r>
            <w:r w:rsidR="00E46012">
              <w:rPr>
                <w:rFonts w:ascii="Arial" w:hAnsi="Arial" w:cs="Arial"/>
                <w:color w:val="000000"/>
              </w:rPr>
              <w:t>Members</w:t>
            </w:r>
            <w:r w:rsidR="00E46012" w:rsidRPr="00E75806">
              <w:rPr>
                <w:rFonts w:ascii="Arial" w:hAnsi="Arial" w:cs="Arial"/>
                <w:color w:val="000000"/>
              </w:rPr>
              <w:t xml:space="preserve"> </w:t>
            </w:r>
            <w:r w:rsidRPr="00E75806">
              <w:rPr>
                <w:rFonts w:ascii="Arial" w:hAnsi="Arial" w:cs="Arial"/>
                <w:color w:val="000000"/>
              </w:rPr>
              <w:t xml:space="preserve">with completing the health </w:t>
            </w:r>
            <w:r w:rsidR="004A04E9">
              <w:rPr>
                <w:rFonts w:ascii="Arial" w:hAnsi="Arial" w:cs="Arial"/>
                <w:color w:val="000000"/>
              </w:rPr>
              <w:t>risk assessment</w:t>
            </w:r>
            <w:r w:rsidRPr="00E75806">
              <w:rPr>
                <w:rFonts w:ascii="Arial" w:hAnsi="Arial" w:cs="Arial"/>
                <w:color w:val="000000"/>
              </w:rPr>
              <w:t xml:space="preserve">, </w:t>
            </w:r>
            <w:r>
              <w:rPr>
                <w:rFonts w:ascii="Arial" w:hAnsi="Arial" w:cs="Arial"/>
                <w:color w:val="000000"/>
              </w:rPr>
              <w:t>provid</w:t>
            </w:r>
            <w:r w:rsidR="00981318">
              <w:rPr>
                <w:rFonts w:ascii="Arial" w:hAnsi="Arial" w:cs="Arial"/>
                <w:color w:val="000000"/>
              </w:rPr>
              <w:t>ing</w:t>
            </w:r>
            <w:r>
              <w:rPr>
                <w:rFonts w:ascii="Arial" w:hAnsi="Arial" w:cs="Arial"/>
                <w:color w:val="000000"/>
              </w:rPr>
              <w:t xml:space="preserve"> status of incentive payment</w:t>
            </w:r>
            <w:r w:rsidR="00D93863">
              <w:rPr>
                <w:rFonts w:ascii="Arial" w:hAnsi="Arial" w:cs="Arial"/>
                <w:color w:val="000000"/>
              </w:rPr>
              <w:t>s</w:t>
            </w:r>
            <w:r>
              <w:rPr>
                <w:rFonts w:ascii="Arial" w:hAnsi="Arial" w:cs="Arial"/>
                <w:color w:val="000000"/>
              </w:rPr>
              <w:t xml:space="preserve">, </w:t>
            </w:r>
            <w:r w:rsidR="004F546C">
              <w:rPr>
                <w:rFonts w:ascii="Arial" w:hAnsi="Arial" w:cs="Arial"/>
                <w:color w:val="000000"/>
              </w:rPr>
              <w:t>assist</w:t>
            </w:r>
            <w:r w:rsidR="00981318">
              <w:rPr>
                <w:rFonts w:ascii="Arial" w:hAnsi="Arial" w:cs="Arial"/>
                <w:color w:val="000000"/>
              </w:rPr>
              <w:t>ing</w:t>
            </w:r>
            <w:r w:rsidR="004F546C">
              <w:rPr>
                <w:rFonts w:ascii="Arial" w:hAnsi="Arial" w:cs="Arial"/>
                <w:color w:val="000000"/>
              </w:rPr>
              <w:t xml:space="preserve"> with accessing </w:t>
            </w:r>
            <w:r w:rsidR="004F546C">
              <w:rPr>
                <w:rFonts w:ascii="Arial" w:hAnsi="Arial" w:cs="Arial"/>
                <w:color w:val="000000"/>
              </w:rPr>
              <w:lastRenderedPageBreak/>
              <w:t xml:space="preserve">the website and </w:t>
            </w:r>
            <w:r w:rsidR="004A04E9">
              <w:rPr>
                <w:rFonts w:ascii="Arial" w:hAnsi="Arial" w:cs="Arial"/>
                <w:color w:val="000000"/>
              </w:rPr>
              <w:t>web-</w:t>
            </w:r>
            <w:r w:rsidRPr="00E75806">
              <w:rPr>
                <w:rFonts w:ascii="Arial" w:hAnsi="Arial" w:cs="Arial"/>
                <w:color w:val="000000"/>
              </w:rPr>
              <w:t xml:space="preserve">portal, and answering questions regarding other services the </w:t>
            </w:r>
            <w:r w:rsidR="00A146AC">
              <w:rPr>
                <w:rFonts w:ascii="Arial" w:hAnsi="Arial" w:cs="Arial"/>
                <w:color w:val="000000"/>
              </w:rPr>
              <w:t>Contractor</w:t>
            </w:r>
            <w:r w:rsidRPr="00E75806">
              <w:rPr>
                <w:rFonts w:ascii="Arial" w:hAnsi="Arial" w:cs="Arial"/>
                <w:color w:val="000000"/>
              </w:rPr>
              <w:t xml:space="preserve"> provides as part of the Contract.</w:t>
            </w:r>
          </w:p>
        </w:tc>
      </w:tr>
      <w:tr w:rsidR="008C7043" w14:paraId="6BDD73AF" w14:textId="77777777" w:rsidTr="0059128F">
        <w:tc>
          <w:tcPr>
            <w:tcW w:w="535" w:type="dxa"/>
          </w:tcPr>
          <w:p w14:paraId="5C3A2CAD" w14:textId="77777777" w:rsidR="008C7043" w:rsidRDefault="008C7043" w:rsidP="00F01E1A">
            <w:pPr>
              <w:pStyle w:val="ListParagraph"/>
              <w:numPr>
                <w:ilvl w:val="0"/>
                <w:numId w:val="45"/>
              </w:numPr>
            </w:pPr>
          </w:p>
        </w:tc>
        <w:tc>
          <w:tcPr>
            <w:tcW w:w="8815" w:type="dxa"/>
            <w:vAlign w:val="bottom"/>
          </w:tcPr>
          <w:p w14:paraId="3ED0D08C" w14:textId="0DD858E7" w:rsidR="008C7043" w:rsidRPr="00446723" w:rsidRDefault="008C7043" w:rsidP="00981318">
            <w:pPr>
              <w:rPr>
                <w:rFonts w:ascii="Arial" w:hAnsi="Arial" w:cs="Arial"/>
                <w:color w:val="000000"/>
              </w:rPr>
            </w:pPr>
            <w:r w:rsidRPr="008C7043">
              <w:rPr>
                <w:rFonts w:ascii="Arial" w:hAnsi="Arial" w:cs="Arial"/>
                <w:color w:val="000000"/>
              </w:rPr>
              <w:t xml:space="preserve">The </w:t>
            </w:r>
            <w:r w:rsidR="00A146AC">
              <w:rPr>
                <w:rFonts w:ascii="Arial" w:hAnsi="Arial" w:cs="Arial"/>
                <w:color w:val="000000"/>
              </w:rPr>
              <w:t>Contractor</w:t>
            </w:r>
            <w:r w:rsidRPr="008C7043">
              <w:rPr>
                <w:rFonts w:ascii="Arial" w:hAnsi="Arial" w:cs="Arial"/>
                <w:color w:val="000000"/>
              </w:rPr>
              <w:t xml:space="preserve">’s call center </w:t>
            </w:r>
            <w:r w:rsidR="002939BB">
              <w:rPr>
                <w:rFonts w:ascii="Arial" w:hAnsi="Arial" w:cs="Arial"/>
                <w:color w:val="000000"/>
              </w:rPr>
              <w:t>must</w:t>
            </w:r>
            <w:r w:rsidRPr="008C7043">
              <w:rPr>
                <w:rFonts w:ascii="Arial" w:hAnsi="Arial" w:cs="Arial"/>
                <w:color w:val="000000"/>
              </w:rPr>
              <w:t xml:space="preserve"> have call management systems and communications infrastructure that can manage the </w:t>
            </w:r>
            <w:r>
              <w:rPr>
                <w:rFonts w:ascii="Arial" w:hAnsi="Arial" w:cs="Arial"/>
                <w:color w:val="000000"/>
              </w:rPr>
              <w:t xml:space="preserve">initial account </w:t>
            </w:r>
            <w:r w:rsidRPr="008C7043">
              <w:rPr>
                <w:rFonts w:ascii="Arial" w:hAnsi="Arial" w:cs="Arial"/>
                <w:color w:val="000000"/>
              </w:rPr>
              <w:t>call volume</w:t>
            </w:r>
            <w:r>
              <w:rPr>
                <w:rFonts w:ascii="Arial" w:hAnsi="Arial" w:cs="Arial"/>
                <w:color w:val="000000"/>
              </w:rPr>
              <w:t xml:space="preserve"> and meet the future needs as the program expands</w:t>
            </w:r>
            <w:r w:rsidRPr="008C7043">
              <w:rPr>
                <w:rFonts w:ascii="Arial" w:hAnsi="Arial" w:cs="Arial"/>
                <w:color w:val="000000"/>
              </w:rPr>
              <w:t>.</w:t>
            </w:r>
          </w:p>
        </w:tc>
      </w:tr>
      <w:tr w:rsidR="007D2C86" w14:paraId="26D960BB" w14:textId="77777777" w:rsidTr="0059128F">
        <w:tc>
          <w:tcPr>
            <w:tcW w:w="535" w:type="dxa"/>
          </w:tcPr>
          <w:p w14:paraId="791C9F57" w14:textId="77777777" w:rsidR="007D2C86" w:rsidRDefault="007D2C86" w:rsidP="00F01E1A">
            <w:pPr>
              <w:pStyle w:val="ListParagraph"/>
              <w:numPr>
                <w:ilvl w:val="0"/>
                <w:numId w:val="45"/>
              </w:numPr>
            </w:pPr>
          </w:p>
        </w:tc>
        <w:tc>
          <w:tcPr>
            <w:tcW w:w="8815" w:type="dxa"/>
            <w:vAlign w:val="bottom"/>
          </w:tcPr>
          <w:p w14:paraId="5A19B248" w14:textId="57D3C0E0" w:rsidR="007D2C86" w:rsidRPr="00446723" w:rsidRDefault="00E46012" w:rsidP="00E46012">
            <w:pPr>
              <w:rPr>
                <w:rFonts w:ascii="Arial" w:hAnsi="Arial" w:cs="Arial"/>
              </w:rPr>
            </w:pPr>
            <w:r>
              <w:rPr>
                <w:rFonts w:ascii="Arial" w:hAnsi="Arial" w:cs="Arial"/>
                <w:color w:val="000000"/>
              </w:rPr>
              <w:t>Member</w:t>
            </w:r>
            <w:r w:rsidRPr="00446723">
              <w:rPr>
                <w:rFonts w:ascii="Arial" w:hAnsi="Arial" w:cs="Arial"/>
                <w:color w:val="000000"/>
              </w:rPr>
              <w:t xml:space="preserve">s </w:t>
            </w:r>
            <w:r w:rsidR="007D2C86" w:rsidRPr="00446723">
              <w:rPr>
                <w:rFonts w:ascii="Arial" w:hAnsi="Arial" w:cs="Arial"/>
                <w:color w:val="000000"/>
              </w:rPr>
              <w:t xml:space="preserve">must be </w:t>
            </w:r>
            <w:r w:rsidR="007D2C86" w:rsidRPr="008C7043">
              <w:rPr>
                <w:rFonts w:ascii="Arial" w:hAnsi="Arial" w:cs="Arial"/>
                <w:color w:val="000000"/>
              </w:rPr>
              <w:t xml:space="preserve">able to speak to a </w:t>
            </w:r>
            <w:r w:rsidR="004F546C">
              <w:rPr>
                <w:rFonts w:ascii="Arial" w:hAnsi="Arial" w:cs="Arial"/>
                <w:color w:val="000000"/>
              </w:rPr>
              <w:t>customer s</w:t>
            </w:r>
            <w:r w:rsidR="007D2C86" w:rsidRPr="008C7043">
              <w:rPr>
                <w:rFonts w:ascii="Arial" w:hAnsi="Arial" w:cs="Arial"/>
                <w:color w:val="000000"/>
              </w:rPr>
              <w:t xml:space="preserve">ervice </w:t>
            </w:r>
            <w:r w:rsidR="004F546C">
              <w:rPr>
                <w:rFonts w:ascii="Arial" w:hAnsi="Arial" w:cs="Arial"/>
                <w:color w:val="000000"/>
              </w:rPr>
              <w:t>r</w:t>
            </w:r>
            <w:r w:rsidR="007D2C86" w:rsidRPr="008C7043">
              <w:rPr>
                <w:rFonts w:ascii="Arial" w:hAnsi="Arial" w:cs="Arial"/>
                <w:color w:val="000000"/>
              </w:rPr>
              <w:t>epresentative</w:t>
            </w:r>
            <w:r w:rsidR="004F546C">
              <w:rPr>
                <w:rFonts w:ascii="Arial" w:hAnsi="Arial" w:cs="Arial"/>
                <w:color w:val="000000"/>
              </w:rPr>
              <w:t>,</w:t>
            </w:r>
            <w:r w:rsidR="006C6775" w:rsidRPr="008C7043">
              <w:rPr>
                <w:rFonts w:ascii="Arial" w:hAnsi="Arial" w:cs="Arial"/>
                <w:color w:val="000000"/>
              </w:rPr>
              <w:t xml:space="preserve"> via </w:t>
            </w:r>
            <w:r w:rsidR="00F13FED">
              <w:rPr>
                <w:rFonts w:ascii="Arial" w:hAnsi="Arial" w:cs="Arial"/>
                <w:color w:val="000000"/>
              </w:rPr>
              <w:t>the dedicated</w:t>
            </w:r>
            <w:r w:rsidR="006C6775" w:rsidRPr="008C7043">
              <w:rPr>
                <w:rFonts w:ascii="Arial" w:hAnsi="Arial" w:cs="Arial"/>
                <w:color w:val="000000"/>
              </w:rPr>
              <w:t xml:space="preserve"> toll free number</w:t>
            </w:r>
            <w:r w:rsidR="004F546C">
              <w:rPr>
                <w:rFonts w:ascii="Arial" w:hAnsi="Arial" w:cs="Arial"/>
                <w:color w:val="000000"/>
              </w:rPr>
              <w:t xml:space="preserve"> which will be posted on t</w:t>
            </w:r>
            <w:r w:rsidR="006C6775" w:rsidRPr="008C7043">
              <w:rPr>
                <w:rFonts w:ascii="Arial" w:hAnsi="Arial" w:cs="Arial"/>
                <w:color w:val="000000"/>
              </w:rPr>
              <w:t xml:space="preserve">he website and all print materials, </w:t>
            </w:r>
            <w:r w:rsidR="007D2C86" w:rsidRPr="008C7043">
              <w:rPr>
                <w:rFonts w:ascii="Arial" w:hAnsi="Arial" w:cs="Arial"/>
                <w:color w:val="000000"/>
              </w:rPr>
              <w:t>between 8</w:t>
            </w:r>
            <w:r w:rsidR="00981318">
              <w:rPr>
                <w:rFonts w:ascii="Arial" w:hAnsi="Arial" w:cs="Arial"/>
                <w:color w:val="000000"/>
              </w:rPr>
              <w:t>:00</w:t>
            </w:r>
            <w:r w:rsidR="007D2C86" w:rsidRPr="008C7043">
              <w:rPr>
                <w:rFonts w:ascii="Arial" w:hAnsi="Arial" w:cs="Arial"/>
                <w:color w:val="000000"/>
              </w:rPr>
              <w:t xml:space="preserve"> a.m. and </w:t>
            </w:r>
            <w:r w:rsidR="00981318">
              <w:rPr>
                <w:rFonts w:ascii="Arial" w:hAnsi="Arial" w:cs="Arial"/>
                <w:color w:val="000000"/>
              </w:rPr>
              <w:t>7</w:t>
            </w:r>
            <w:r w:rsidR="007D2C86" w:rsidRPr="008C7043">
              <w:rPr>
                <w:rFonts w:ascii="Arial" w:hAnsi="Arial" w:cs="Arial"/>
                <w:color w:val="000000"/>
              </w:rPr>
              <w:t>:00 p.m. CST</w:t>
            </w:r>
            <w:r w:rsidR="00AD34CD">
              <w:rPr>
                <w:rFonts w:ascii="Arial" w:hAnsi="Arial" w:cs="Arial"/>
                <w:color w:val="000000"/>
              </w:rPr>
              <w:t>/CDT</w:t>
            </w:r>
            <w:r w:rsidR="007D2C86" w:rsidRPr="008C7043">
              <w:rPr>
                <w:rFonts w:ascii="Arial" w:hAnsi="Arial" w:cs="Arial"/>
                <w:color w:val="000000"/>
              </w:rPr>
              <w:t xml:space="preserve"> </w:t>
            </w:r>
            <w:r w:rsidR="007D2C86" w:rsidRPr="00446723">
              <w:rPr>
                <w:rFonts w:ascii="Arial" w:hAnsi="Arial" w:cs="Arial"/>
                <w:color w:val="000000"/>
              </w:rPr>
              <w:t>Monday through Friday, at a minimum</w:t>
            </w:r>
            <w:r w:rsidR="006B57B7">
              <w:rPr>
                <w:rFonts w:ascii="Arial" w:hAnsi="Arial" w:cs="Arial"/>
                <w:color w:val="000000"/>
              </w:rPr>
              <w:t>, except for legal holidays</w:t>
            </w:r>
            <w:r w:rsidR="007D2C86" w:rsidRPr="00446723">
              <w:rPr>
                <w:rFonts w:ascii="Arial" w:hAnsi="Arial" w:cs="Arial"/>
                <w:color w:val="000000"/>
              </w:rPr>
              <w:t xml:space="preserve">. </w:t>
            </w:r>
            <w:r>
              <w:rPr>
                <w:rFonts w:ascii="Arial" w:hAnsi="Arial" w:cs="Arial"/>
                <w:color w:val="000000"/>
              </w:rPr>
              <w:t>Member</w:t>
            </w:r>
            <w:r w:rsidRPr="00446723">
              <w:rPr>
                <w:rFonts w:ascii="Arial" w:hAnsi="Arial" w:cs="Arial"/>
                <w:color w:val="000000"/>
              </w:rPr>
              <w:t xml:space="preserve">s </w:t>
            </w:r>
            <w:r w:rsidR="007D2C86" w:rsidRPr="00446723">
              <w:rPr>
                <w:rFonts w:ascii="Arial" w:hAnsi="Arial" w:cs="Arial"/>
                <w:color w:val="000000"/>
              </w:rPr>
              <w:t xml:space="preserve">must </w:t>
            </w:r>
            <w:r w:rsidR="004F546C">
              <w:rPr>
                <w:rFonts w:ascii="Arial" w:hAnsi="Arial" w:cs="Arial"/>
                <w:color w:val="000000"/>
              </w:rPr>
              <w:t xml:space="preserve">also </w:t>
            </w:r>
            <w:r w:rsidR="007D2C86" w:rsidRPr="00446723">
              <w:rPr>
                <w:rFonts w:ascii="Arial" w:hAnsi="Arial" w:cs="Arial"/>
                <w:color w:val="000000"/>
              </w:rPr>
              <w:t xml:space="preserve">be able to submit questions </w:t>
            </w:r>
            <w:r w:rsidR="004F546C">
              <w:rPr>
                <w:rFonts w:ascii="Arial" w:hAnsi="Arial" w:cs="Arial"/>
                <w:color w:val="000000"/>
              </w:rPr>
              <w:t xml:space="preserve">using </w:t>
            </w:r>
            <w:r w:rsidR="007D2C86" w:rsidRPr="00446723">
              <w:rPr>
                <w:rFonts w:ascii="Arial" w:hAnsi="Arial" w:cs="Arial"/>
                <w:color w:val="000000"/>
              </w:rPr>
              <w:t>e-mail</w:t>
            </w:r>
            <w:r w:rsidR="004F546C">
              <w:rPr>
                <w:rFonts w:ascii="Arial" w:hAnsi="Arial" w:cs="Arial"/>
                <w:color w:val="000000"/>
              </w:rPr>
              <w:t xml:space="preserve"> and the </w:t>
            </w:r>
            <w:r w:rsidR="008C379A">
              <w:rPr>
                <w:rFonts w:ascii="Arial" w:hAnsi="Arial" w:cs="Arial"/>
                <w:color w:val="000000"/>
              </w:rPr>
              <w:t>web-portal</w:t>
            </w:r>
            <w:r w:rsidR="007D2C86" w:rsidRPr="00446723">
              <w:rPr>
                <w:rFonts w:ascii="Arial" w:hAnsi="Arial" w:cs="Arial"/>
                <w:color w:val="000000"/>
              </w:rPr>
              <w:t>.</w:t>
            </w:r>
            <w:r w:rsidR="006C6775">
              <w:rPr>
                <w:rFonts w:ascii="Arial" w:hAnsi="Arial" w:cs="Arial"/>
                <w:color w:val="000000"/>
              </w:rPr>
              <w:t xml:space="preserve"> </w:t>
            </w:r>
            <w:r w:rsidR="006C6775" w:rsidRPr="006C6775">
              <w:rPr>
                <w:rFonts w:ascii="Arial" w:hAnsi="Arial" w:cs="Arial"/>
                <w:color w:val="000000"/>
              </w:rPr>
              <w:t>The call center</w:t>
            </w:r>
            <w:r w:rsidR="006C6775">
              <w:rPr>
                <w:rFonts w:ascii="Arial" w:hAnsi="Arial" w:cs="Arial"/>
                <w:color w:val="000000"/>
              </w:rPr>
              <w:t xml:space="preserve"> must</w:t>
            </w:r>
            <w:r w:rsidR="006C6775" w:rsidRPr="006C6775">
              <w:rPr>
                <w:rFonts w:ascii="Arial" w:hAnsi="Arial" w:cs="Arial"/>
                <w:color w:val="000000"/>
              </w:rPr>
              <w:t xml:space="preserve"> be equipped with TDD (Telephone Device for</w:t>
            </w:r>
            <w:r w:rsidR="006C6775">
              <w:rPr>
                <w:rFonts w:ascii="Arial" w:hAnsi="Arial" w:cs="Arial"/>
                <w:color w:val="000000"/>
              </w:rPr>
              <w:t xml:space="preserve"> </w:t>
            </w:r>
            <w:r w:rsidR="006C6775" w:rsidRPr="006C6775">
              <w:rPr>
                <w:rFonts w:ascii="Arial" w:hAnsi="Arial" w:cs="Arial"/>
                <w:color w:val="000000"/>
              </w:rPr>
              <w:t>the Deaf) in order to serve the hearing impaired population.</w:t>
            </w:r>
            <w:r w:rsidR="00E01E51">
              <w:rPr>
                <w:rFonts w:ascii="Arial" w:hAnsi="Arial" w:cs="Arial"/>
                <w:color w:val="000000"/>
              </w:rPr>
              <w:t xml:space="preserve"> </w:t>
            </w:r>
          </w:p>
        </w:tc>
      </w:tr>
      <w:tr w:rsidR="007D2C86" w14:paraId="530E4C59" w14:textId="77777777" w:rsidTr="0059128F">
        <w:tc>
          <w:tcPr>
            <w:tcW w:w="535" w:type="dxa"/>
          </w:tcPr>
          <w:p w14:paraId="7C60A0F9" w14:textId="77777777" w:rsidR="007D2C86" w:rsidRDefault="007D2C86" w:rsidP="00F01E1A">
            <w:pPr>
              <w:pStyle w:val="ListParagraph"/>
              <w:numPr>
                <w:ilvl w:val="0"/>
                <w:numId w:val="45"/>
              </w:numPr>
            </w:pPr>
          </w:p>
        </w:tc>
        <w:tc>
          <w:tcPr>
            <w:tcW w:w="8815" w:type="dxa"/>
            <w:vAlign w:val="bottom"/>
          </w:tcPr>
          <w:p w14:paraId="15F48BCC" w14:textId="401C2564" w:rsidR="00B51E41" w:rsidRDefault="00981318" w:rsidP="00E01E51">
            <w:pPr>
              <w:pStyle w:val="LRWLBodyText"/>
              <w:rPr>
                <w:rFonts w:cs="Arial"/>
              </w:rPr>
            </w:pPr>
            <w:r>
              <w:rPr>
                <w:rFonts w:cs="Arial"/>
              </w:rPr>
              <w:t xml:space="preserve">The </w:t>
            </w:r>
            <w:r w:rsidR="00A146AC">
              <w:rPr>
                <w:rFonts w:cs="Arial"/>
              </w:rPr>
              <w:t>Contractor</w:t>
            </w:r>
            <w:r w:rsidR="00B51E41">
              <w:rPr>
                <w:rFonts w:cs="Arial"/>
              </w:rPr>
              <w:t xml:space="preserve"> must have </w:t>
            </w:r>
            <w:r w:rsidR="00B51E41">
              <w:rPr>
                <w:rFonts w:cs="Arial"/>
                <w:color w:val="000000"/>
              </w:rPr>
              <w:t>a c</w:t>
            </w:r>
            <w:r w:rsidR="00B51E41" w:rsidRPr="00446723">
              <w:rPr>
                <w:rFonts w:cs="Arial"/>
                <w:color w:val="000000"/>
              </w:rPr>
              <w:t xml:space="preserve">ustomer service </w:t>
            </w:r>
            <w:r w:rsidR="00D93863" w:rsidRPr="00446723">
              <w:rPr>
                <w:rFonts w:cs="Arial"/>
                <w:color w:val="000000"/>
              </w:rPr>
              <w:t>in</w:t>
            </w:r>
            <w:r w:rsidR="00D93863">
              <w:rPr>
                <w:rFonts w:cs="Arial"/>
                <w:color w:val="000000"/>
              </w:rPr>
              <w:t>quiry</w:t>
            </w:r>
            <w:r w:rsidR="00B51E41" w:rsidRPr="00E01E51">
              <w:rPr>
                <w:rFonts w:cs="Arial"/>
                <w:color w:val="000000"/>
              </w:rPr>
              <w:t xml:space="preserve"> system </w:t>
            </w:r>
            <w:r w:rsidR="00B51E41">
              <w:rPr>
                <w:rFonts w:cs="Arial"/>
                <w:color w:val="000000"/>
              </w:rPr>
              <w:t xml:space="preserve">for </w:t>
            </w:r>
            <w:r w:rsidR="007D2C86" w:rsidRPr="00E01E51">
              <w:rPr>
                <w:rFonts w:cs="Arial"/>
              </w:rPr>
              <w:t>inquiries</w:t>
            </w:r>
            <w:r w:rsidR="00B51E41">
              <w:rPr>
                <w:rFonts w:cs="Arial"/>
              </w:rPr>
              <w:t xml:space="preserve"> received</w:t>
            </w:r>
            <w:r w:rsidR="00E01E51" w:rsidRPr="00E01E51">
              <w:rPr>
                <w:rFonts w:cs="Arial"/>
              </w:rPr>
              <w:t xml:space="preserve"> by phone and web</w:t>
            </w:r>
            <w:r w:rsidR="00B51E41">
              <w:rPr>
                <w:rFonts w:cs="Arial"/>
              </w:rPr>
              <w:t xml:space="preserve">. The </w:t>
            </w:r>
            <w:r w:rsidR="00B51E41" w:rsidRPr="00E01E51">
              <w:rPr>
                <w:rFonts w:cs="Arial"/>
                <w:color w:val="000000"/>
              </w:rPr>
              <w:t>system must maintain a history of</w:t>
            </w:r>
            <w:r w:rsidR="00B51E41">
              <w:rPr>
                <w:rFonts w:cs="Arial"/>
                <w:color w:val="000000"/>
              </w:rPr>
              <w:t xml:space="preserve"> inquiries </w:t>
            </w:r>
            <w:r w:rsidR="00B51E41" w:rsidRPr="00E01E51">
              <w:rPr>
                <w:rFonts w:cs="Arial"/>
                <w:color w:val="000000"/>
              </w:rPr>
              <w:t>for performance management, quality</w:t>
            </w:r>
            <w:r w:rsidR="00B51E41">
              <w:rPr>
                <w:rFonts w:cs="Arial"/>
                <w:color w:val="000000"/>
              </w:rPr>
              <w:t xml:space="preserve"> </w:t>
            </w:r>
            <w:r w:rsidR="00B51E41" w:rsidRPr="00E01E51">
              <w:rPr>
                <w:rFonts w:cs="Arial"/>
                <w:color w:val="000000"/>
              </w:rPr>
              <w:t>management and audit purposes.</w:t>
            </w:r>
            <w:r w:rsidR="00B51E41">
              <w:rPr>
                <w:rFonts w:cs="Arial"/>
                <w:color w:val="000000"/>
              </w:rPr>
              <w:t xml:space="preserve"> </w:t>
            </w:r>
            <w:r w:rsidR="00B51E41" w:rsidRPr="00E01E51">
              <w:rPr>
                <w:rFonts w:cs="Arial"/>
                <w:color w:val="000000"/>
              </w:rPr>
              <w:t>Related correspondence and calls shall be</w:t>
            </w:r>
            <w:r w:rsidR="00B51E41">
              <w:rPr>
                <w:rFonts w:cs="Arial"/>
                <w:color w:val="000000"/>
              </w:rPr>
              <w:t xml:space="preserve"> </w:t>
            </w:r>
            <w:r w:rsidR="00B51E41" w:rsidRPr="00E01E51">
              <w:rPr>
                <w:rFonts w:cs="Arial"/>
                <w:color w:val="000000"/>
              </w:rPr>
              <w:t xml:space="preserve">indexed and properly recorded </w:t>
            </w:r>
            <w:r>
              <w:rPr>
                <w:rFonts w:cs="Arial"/>
                <w:color w:val="000000"/>
              </w:rPr>
              <w:t>to allow for r</w:t>
            </w:r>
            <w:r w:rsidR="00B51E41" w:rsidRPr="00E01E51">
              <w:rPr>
                <w:rFonts w:cs="Arial"/>
                <w:color w:val="000000"/>
              </w:rPr>
              <w:t>eporting and</w:t>
            </w:r>
            <w:r w:rsidR="00B51E41">
              <w:rPr>
                <w:rFonts w:cs="Arial"/>
                <w:color w:val="000000"/>
              </w:rPr>
              <w:t xml:space="preserve"> </w:t>
            </w:r>
            <w:r w:rsidR="00B51E41" w:rsidRPr="00E01E51">
              <w:rPr>
                <w:rFonts w:cs="Arial"/>
                <w:color w:val="000000"/>
              </w:rPr>
              <w:t xml:space="preserve">analysis </w:t>
            </w:r>
            <w:r>
              <w:rPr>
                <w:rFonts w:cs="Arial"/>
                <w:color w:val="000000"/>
              </w:rPr>
              <w:t xml:space="preserve">based on </w:t>
            </w:r>
            <w:r w:rsidR="00B51E41" w:rsidRPr="00E01E51">
              <w:rPr>
                <w:rFonts w:cs="Arial"/>
                <w:color w:val="000000"/>
              </w:rPr>
              <w:t>a distinct transaction.</w:t>
            </w:r>
          </w:p>
          <w:p w14:paraId="2DA55152" w14:textId="61A3DBD0" w:rsidR="007D2C86" w:rsidRPr="00E01E51" w:rsidRDefault="00B51E41" w:rsidP="00E01E51">
            <w:pPr>
              <w:pStyle w:val="LRWLBodyText"/>
              <w:rPr>
                <w:rFonts w:cs="Arial"/>
              </w:rPr>
            </w:pPr>
            <w:r>
              <w:rPr>
                <w:rFonts w:cs="Arial"/>
              </w:rPr>
              <w:t>The system</w:t>
            </w:r>
            <w:r w:rsidR="00E01E51" w:rsidRPr="00E01E51">
              <w:rPr>
                <w:rFonts w:cs="Arial"/>
              </w:rPr>
              <w:t xml:space="preserve"> must</w:t>
            </w:r>
            <w:r w:rsidR="007D2C86" w:rsidRPr="00E01E51">
              <w:rPr>
                <w:rFonts w:cs="Arial"/>
              </w:rPr>
              <w:t xml:space="preserve"> track</w:t>
            </w:r>
            <w:r w:rsidR="00E01E51" w:rsidRPr="00E01E51">
              <w:rPr>
                <w:rFonts w:cs="Arial"/>
              </w:rPr>
              <w:t xml:space="preserve"> and log the following detail:</w:t>
            </w:r>
          </w:p>
          <w:p w14:paraId="17F55DDF" w14:textId="6041596C" w:rsidR="008C7043" w:rsidRPr="00E01E51" w:rsidRDefault="008C7043" w:rsidP="00F01E1A">
            <w:pPr>
              <w:pStyle w:val="LRWLBodyText"/>
              <w:numPr>
                <w:ilvl w:val="0"/>
                <w:numId w:val="28"/>
              </w:numPr>
              <w:rPr>
                <w:rFonts w:cs="Arial"/>
              </w:rPr>
            </w:pPr>
            <w:r w:rsidRPr="00E01E51">
              <w:rPr>
                <w:rFonts w:cs="Arial"/>
              </w:rPr>
              <w:t xml:space="preserve">The </w:t>
            </w:r>
            <w:r w:rsidR="002939BB">
              <w:rPr>
                <w:rFonts w:cs="Arial"/>
              </w:rPr>
              <w:t>individual’s</w:t>
            </w:r>
            <w:r w:rsidRPr="00E01E51">
              <w:rPr>
                <w:rFonts w:cs="Arial"/>
              </w:rPr>
              <w:t xml:space="preserve"> identifying </w:t>
            </w:r>
            <w:r w:rsidR="00E01E51">
              <w:rPr>
                <w:rFonts w:cs="Arial"/>
              </w:rPr>
              <w:t>information</w:t>
            </w:r>
            <w:r w:rsidR="00D93863">
              <w:rPr>
                <w:rFonts w:cs="Arial"/>
              </w:rPr>
              <w:t>;</w:t>
            </w:r>
          </w:p>
          <w:p w14:paraId="3B1EF340" w14:textId="46107766" w:rsidR="008C7043" w:rsidRPr="00E01E51" w:rsidRDefault="00E01E51" w:rsidP="00F01E1A">
            <w:pPr>
              <w:pStyle w:val="LRWLBodyText"/>
              <w:numPr>
                <w:ilvl w:val="0"/>
                <w:numId w:val="28"/>
              </w:numPr>
              <w:rPr>
                <w:rFonts w:cs="Arial"/>
              </w:rPr>
            </w:pPr>
            <w:r>
              <w:rPr>
                <w:rFonts w:cs="Arial"/>
              </w:rPr>
              <w:t>The date and time</w:t>
            </w:r>
            <w:r w:rsidR="002939BB">
              <w:rPr>
                <w:rFonts w:cs="Arial"/>
              </w:rPr>
              <w:t xml:space="preserve"> the inquiry was received</w:t>
            </w:r>
            <w:r w:rsidR="00D93863">
              <w:rPr>
                <w:rFonts w:cs="Arial"/>
              </w:rPr>
              <w:t>;</w:t>
            </w:r>
          </w:p>
          <w:p w14:paraId="5A7187DA" w14:textId="00C164DE" w:rsidR="008C7043" w:rsidRDefault="008C7043" w:rsidP="00F01E1A">
            <w:pPr>
              <w:pStyle w:val="LRWLBodyText"/>
              <w:numPr>
                <w:ilvl w:val="0"/>
                <w:numId w:val="28"/>
              </w:numPr>
              <w:rPr>
                <w:rFonts w:cs="Arial"/>
              </w:rPr>
            </w:pPr>
            <w:r w:rsidRPr="00E01E51">
              <w:rPr>
                <w:rFonts w:cs="Arial"/>
              </w:rPr>
              <w:t xml:space="preserve">The reason for the </w:t>
            </w:r>
            <w:r w:rsidR="002939BB">
              <w:rPr>
                <w:rFonts w:cs="Arial"/>
              </w:rPr>
              <w:t>inquiry</w:t>
            </w:r>
            <w:r w:rsidRPr="00E01E51">
              <w:rPr>
                <w:rFonts w:cs="Arial"/>
              </w:rPr>
              <w:t xml:space="preserve"> (including a reason code using a coding scheme</w:t>
            </w:r>
            <w:r w:rsidR="00E01E51" w:rsidRPr="00E01E51">
              <w:rPr>
                <w:rFonts w:cs="Arial"/>
              </w:rPr>
              <w:t>)</w:t>
            </w:r>
            <w:r w:rsidR="00D93863">
              <w:rPr>
                <w:rFonts w:cs="Arial"/>
              </w:rPr>
              <w:t>;</w:t>
            </w:r>
          </w:p>
          <w:p w14:paraId="0815E3A3" w14:textId="16473FD7" w:rsidR="00B51E41" w:rsidRPr="00E01E51" w:rsidRDefault="00B51E41" w:rsidP="00F01E1A">
            <w:pPr>
              <w:pStyle w:val="LRWLBodyText"/>
              <w:numPr>
                <w:ilvl w:val="0"/>
                <w:numId w:val="28"/>
              </w:numPr>
              <w:rPr>
                <w:rFonts w:cs="Arial"/>
              </w:rPr>
            </w:pPr>
            <w:r>
              <w:rPr>
                <w:rFonts w:cs="Arial"/>
                <w:color w:val="000000"/>
              </w:rPr>
              <w:t>T</w:t>
            </w:r>
            <w:r w:rsidRPr="00E01E51">
              <w:rPr>
                <w:rFonts w:cs="Arial"/>
                <w:color w:val="000000"/>
              </w:rPr>
              <w:t xml:space="preserve">he origin of the transaction (e.g., </w:t>
            </w:r>
            <w:r w:rsidR="00981318">
              <w:rPr>
                <w:rFonts w:cs="Arial"/>
                <w:color w:val="000000"/>
              </w:rPr>
              <w:t xml:space="preserve">inbound call, </w:t>
            </w:r>
            <w:r>
              <w:rPr>
                <w:rFonts w:cs="Arial"/>
                <w:color w:val="000000"/>
              </w:rPr>
              <w:t>ETF, employer group, health plan)</w:t>
            </w:r>
            <w:r w:rsidR="00D93863">
              <w:rPr>
                <w:rFonts w:cs="Arial"/>
                <w:color w:val="000000"/>
              </w:rPr>
              <w:t>;</w:t>
            </w:r>
          </w:p>
          <w:p w14:paraId="507598E0" w14:textId="4668CE82" w:rsidR="008C7043" w:rsidRDefault="00E01E51" w:rsidP="00F01E1A">
            <w:pPr>
              <w:pStyle w:val="LRWLBodyText"/>
              <w:numPr>
                <w:ilvl w:val="0"/>
                <w:numId w:val="28"/>
              </w:numPr>
              <w:rPr>
                <w:rFonts w:cs="Arial"/>
              </w:rPr>
            </w:pPr>
            <w:r w:rsidRPr="00E01E51">
              <w:rPr>
                <w:rFonts w:cs="Arial"/>
              </w:rPr>
              <w:t>T</w:t>
            </w:r>
            <w:r w:rsidR="008C7043" w:rsidRPr="00E01E51">
              <w:rPr>
                <w:rFonts w:cs="Arial"/>
              </w:rPr>
              <w:t>he representat</w:t>
            </w:r>
            <w:r>
              <w:rPr>
                <w:rFonts w:cs="Arial"/>
              </w:rPr>
              <w:t xml:space="preserve">ive that handled the </w:t>
            </w:r>
            <w:r w:rsidR="002939BB">
              <w:rPr>
                <w:rFonts w:cs="Arial"/>
              </w:rPr>
              <w:t>inquiry</w:t>
            </w:r>
            <w:r w:rsidR="00D93863">
              <w:rPr>
                <w:rFonts w:cs="Arial"/>
              </w:rPr>
              <w:t>;</w:t>
            </w:r>
          </w:p>
          <w:p w14:paraId="4A76ABAE" w14:textId="1B3AB6CF" w:rsidR="008C7043" w:rsidRPr="00E01E51" w:rsidRDefault="002939BB" w:rsidP="00F01E1A">
            <w:pPr>
              <w:pStyle w:val="LRWLBodyText"/>
              <w:numPr>
                <w:ilvl w:val="0"/>
                <w:numId w:val="28"/>
              </w:numPr>
              <w:rPr>
                <w:rFonts w:cs="Arial"/>
              </w:rPr>
            </w:pPr>
            <w:r>
              <w:rPr>
                <w:rFonts w:cs="Arial"/>
              </w:rPr>
              <w:t>For phone inquiries, t</w:t>
            </w:r>
            <w:r w:rsidR="008C7043" w:rsidRPr="00E01E51">
              <w:rPr>
                <w:rFonts w:cs="Arial"/>
              </w:rPr>
              <w:t xml:space="preserve">he length of call; </w:t>
            </w:r>
            <w:r w:rsidR="00410419">
              <w:rPr>
                <w:rFonts w:cs="Arial"/>
              </w:rPr>
              <w:t>and</w:t>
            </w:r>
          </w:p>
          <w:p w14:paraId="220C75C2" w14:textId="5801DD12" w:rsidR="008C7043" w:rsidRPr="00446723" w:rsidRDefault="008C7043" w:rsidP="00F01E1A">
            <w:pPr>
              <w:pStyle w:val="LRWLBodyText"/>
              <w:numPr>
                <w:ilvl w:val="0"/>
                <w:numId w:val="28"/>
              </w:numPr>
              <w:rPr>
                <w:rFonts w:cs="Arial"/>
              </w:rPr>
            </w:pPr>
            <w:r w:rsidRPr="00E01E51">
              <w:rPr>
                <w:rFonts w:cs="Arial"/>
              </w:rPr>
              <w:t xml:space="preserve">The resolution of the </w:t>
            </w:r>
            <w:r w:rsidR="002939BB">
              <w:rPr>
                <w:rFonts w:cs="Arial"/>
              </w:rPr>
              <w:t>inquiry</w:t>
            </w:r>
            <w:r w:rsidRPr="00E01E51">
              <w:rPr>
                <w:rFonts w:cs="Arial"/>
              </w:rPr>
              <w:t xml:space="preserve"> (including a resolution code using a coding</w:t>
            </w:r>
            <w:r w:rsidR="00E346B2">
              <w:rPr>
                <w:rFonts w:cs="Arial"/>
              </w:rPr>
              <w:t xml:space="preserve"> </w:t>
            </w:r>
            <w:r w:rsidR="00981318">
              <w:rPr>
                <w:rFonts w:cs="Arial"/>
              </w:rPr>
              <w:t>s</w:t>
            </w:r>
            <w:r w:rsidRPr="00E01E51">
              <w:rPr>
                <w:rFonts w:cs="Arial"/>
              </w:rPr>
              <w:t>cheme</w:t>
            </w:r>
            <w:r w:rsidR="00E01E51">
              <w:rPr>
                <w:rFonts w:cs="Arial"/>
              </w:rPr>
              <w:t xml:space="preserve">). </w:t>
            </w:r>
            <w:r w:rsidR="00E346B2">
              <w:rPr>
                <w:rFonts w:cs="Arial"/>
              </w:rPr>
              <w:t xml:space="preserve">If </w:t>
            </w:r>
            <w:r w:rsidR="00E346B2" w:rsidRPr="00E01E51">
              <w:rPr>
                <w:rFonts w:cs="Arial"/>
              </w:rPr>
              <w:t>unresolved</w:t>
            </w:r>
            <w:r w:rsidRPr="00E01E51">
              <w:rPr>
                <w:rFonts w:cs="Arial"/>
              </w:rPr>
              <w:t>, the</w:t>
            </w:r>
            <w:r w:rsidR="00E01E51">
              <w:rPr>
                <w:rFonts w:cs="Arial"/>
              </w:rPr>
              <w:t xml:space="preserve"> </w:t>
            </w:r>
            <w:r w:rsidRPr="00E01E51">
              <w:rPr>
                <w:rFonts w:cs="Arial"/>
              </w:rPr>
              <w:t>action taken and follow up steps required.</w:t>
            </w:r>
          </w:p>
        </w:tc>
      </w:tr>
      <w:tr w:rsidR="008C7043" w14:paraId="56FA7D24" w14:textId="77777777" w:rsidTr="0059128F">
        <w:tc>
          <w:tcPr>
            <w:tcW w:w="535" w:type="dxa"/>
          </w:tcPr>
          <w:p w14:paraId="748D2EDB" w14:textId="77777777" w:rsidR="008C7043" w:rsidRDefault="008C7043" w:rsidP="00F01E1A">
            <w:pPr>
              <w:pStyle w:val="ListParagraph"/>
              <w:numPr>
                <w:ilvl w:val="0"/>
                <w:numId w:val="45"/>
              </w:numPr>
            </w:pPr>
          </w:p>
        </w:tc>
        <w:tc>
          <w:tcPr>
            <w:tcW w:w="8815" w:type="dxa"/>
            <w:vAlign w:val="bottom"/>
          </w:tcPr>
          <w:p w14:paraId="674B8357" w14:textId="499C4E5E" w:rsidR="008C7043" w:rsidRPr="00BD454D" w:rsidRDefault="008C7043" w:rsidP="00E46012">
            <w:pPr>
              <w:pStyle w:val="LRWLBodyText"/>
              <w:rPr>
                <w:rFonts w:cs="Arial"/>
                <w:color w:val="000000"/>
              </w:rPr>
            </w:pPr>
            <w:r w:rsidRPr="008C7043">
              <w:rPr>
                <w:rFonts w:cs="Arial"/>
                <w:color w:val="000000"/>
              </w:rPr>
              <w:t xml:space="preserve">At </w:t>
            </w:r>
            <w:r>
              <w:rPr>
                <w:rFonts w:cs="Arial"/>
                <w:color w:val="000000"/>
              </w:rPr>
              <w:t>ETF</w:t>
            </w:r>
            <w:r w:rsidRPr="008C7043">
              <w:rPr>
                <w:rFonts w:cs="Arial"/>
                <w:color w:val="000000"/>
              </w:rPr>
              <w:t xml:space="preserve">’s request, the </w:t>
            </w:r>
            <w:r w:rsidR="00A146AC">
              <w:rPr>
                <w:rFonts w:cs="Arial"/>
                <w:color w:val="000000"/>
              </w:rPr>
              <w:t>Contractor</w:t>
            </w:r>
            <w:r w:rsidRPr="008C7043">
              <w:rPr>
                <w:rFonts w:cs="Arial"/>
                <w:color w:val="000000"/>
              </w:rPr>
              <w:t xml:space="preserve"> </w:t>
            </w:r>
            <w:r w:rsidR="008D6062">
              <w:rPr>
                <w:rFonts w:cs="Arial"/>
                <w:color w:val="000000"/>
              </w:rPr>
              <w:t>must</w:t>
            </w:r>
            <w:r w:rsidRPr="008C7043">
              <w:rPr>
                <w:rFonts w:cs="Arial"/>
                <w:color w:val="000000"/>
              </w:rPr>
              <w:t xml:space="preserve"> provide the policies and</w:t>
            </w:r>
            <w:r>
              <w:rPr>
                <w:rFonts w:cs="Arial"/>
                <w:color w:val="000000"/>
              </w:rPr>
              <w:t xml:space="preserve"> </w:t>
            </w:r>
            <w:r w:rsidRPr="008C7043">
              <w:rPr>
                <w:rFonts w:cs="Arial"/>
                <w:color w:val="000000"/>
              </w:rPr>
              <w:t xml:space="preserve">procedures related to the operation of the call center. </w:t>
            </w:r>
            <w:r>
              <w:rPr>
                <w:rFonts w:cs="Arial"/>
                <w:color w:val="000000"/>
              </w:rPr>
              <w:t xml:space="preserve">ETF </w:t>
            </w:r>
            <w:r w:rsidRPr="008C7043">
              <w:rPr>
                <w:rFonts w:cs="Arial"/>
                <w:color w:val="000000"/>
              </w:rPr>
              <w:t>reserves the right to require changes to the policies and procedures that directly</w:t>
            </w:r>
            <w:r>
              <w:rPr>
                <w:rFonts w:cs="Arial"/>
                <w:color w:val="000000"/>
              </w:rPr>
              <w:t xml:space="preserve"> </w:t>
            </w:r>
            <w:r w:rsidRPr="008C7043">
              <w:rPr>
                <w:rFonts w:cs="Arial"/>
                <w:color w:val="000000"/>
              </w:rPr>
              <w:t xml:space="preserve">impact </w:t>
            </w:r>
            <w:r w:rsidR="00E46012">
              <w:rPr>
                <w:rFonts w:cs="Arial"/>
                <w:color w:val="000000"/>
              </w:rPr>
              <w:t>Members</w:t>
            </w:r>
            <w:r w:rsidRPr="008C7043">
              <w:rPr>
                <w:rFonts w:cs="Arial"/>
                <w:color w:val="000000"/>
              </w:rPr>
              <w:t>.</w:t>
            </w:r>
          </w:p>
        </w:tc>
      </w:tr>
      <w:tr w:rsidR="00BD454D" w14:paraId="764F5C22" w14:textId="77777777" w:rsidTr="0059128F">
        <w:tc>
          <w:tcPr>
            <w:tcW w:w="535" w:type="dxa"/>
          </w:tcPr>
          <w:p w14:paraId="795EBCFA" w14:textId="77777777" w:rsidR="00BD454D" w:rsidRDefault="00BD454D" w:rsidP="00F01E1A">
            <w:pPr>
              <w:pStyle w:val="ListParagraph"/>
              <w:numPr>
                <w:ilvl w:val="0"/>
                <w:numId w:val="45"/>
              </w:numPr>
            </w:pPr>
          </w:p>
        </w:tc>
        <w:tc>
          <w:tcPr>
            <w:tcW w:w="8815" w:type="dxa"/>
            <w:vAlign w:val="bottom"/>
          </w:tcPr>
          <w:p w14:paraId="4284A8DF" w14:textId="65C748FC" w:rsidR="00BD454D" w:rsidRPr="00446723" w:rsidRDefault="00BD454D" w:rsidP="00E46012">
            <w:pPr>
              <w:pStyle w:val="LRWLBodyText"/>
              <w:rPr>
                <w:rFonts w:cs="Arial"/>
                <w:color w:val="000000"/>
              </w:rPr>
            </w:pPr>
            <w:r w:rsidRPr="00BD454D">
              <w:rPr>
                <w:rFonts w:cs="Arial"/>
                <w:color w:val="000000"/>
              </w:rPr>
              <w:t xml:space="preserve">The </w:t>
            </w:r>
            <w:r w:rsidR="00A146AC">
              <w:rPr>
                <w:rFonts w:cs="Arial"/>
                <w:color w:val="000000"/>
              </w:rPr>
              <w:t>Contractor</w:t>
            </w:r>
            <w:r w:rsidRPr="00BD454D">
              <w:rPr>
                <w:rFonts w:cs="Arial"/>
                <w:color w:val="000000"/>
              </w:rPr>
              <w:t xml:space="preserve"> </w:t>
            </w:r>
            <w:r>
              <w:rPr>
                <w:rFonts w:cs="Arial"/>
                <w:color w:val="000000"/>
              </w:rPr>
              <w:t>must</w:t>
            </w:r>
            <w:r w:rsidRPr="00BD454D">
              <w:rPr>
                <w:rFonts w:cs="Arial"/>
                <w:color w:val="000000"/>
              </w:rPr>
              <w:t xml:space="preserve"> have and implement procedures for monitoring and ensuring the</w:t>
            </w:r>
            <w:r>
              <w:rPr>
                <w:rFonts w:cs="Arial"/>
                <w:color w:val="000000"/>
              </w:rPr>
              <w:t xml:space="preserve"> </w:t>
            </w:r>
            <w:r w:rsidRPr="00BD454D">
              <w:rPr>
                <w:rFonts w:cs="Arial"/>
                <w:color w:val="000000"/>
              </w:rPr>
              <w:t xml:space="preserve">quality of services provided by its </w:t>
            </w:r>
            <w:r>
              <w:rPr>
                <w:rFonts w:cs="Arial"/>
                <w:color w:val="000000"/>
              </w:rPr>
              <w:t>customer se</w:t>
            </w:r>
            <w:r w:rsidRPr="00BD454D">
              <w:rPr>
                <w:rFonts w:cs="Arial"/>
                <w:color w:val="000000"/>
              </w:rPr>
              <w:t>rvice representatives</w:t>
            </w:r>
            <w:r>
              <w:rPr>
                <w:rFonts w:cs="Arial"/>
                <w:color w:val="000000"/>
              </w:rPr>
              <w:t>.</w:t>
            </w:r>
            <w:r w:rsidRPr="00BD454D">
              <w:rPr>
                <w:rFonts w:cs="Arial"/>
                <w:color w:val="000000"/>
              </w:rPr>
              <w:t xml:space="preserve"> At </w:t>
            </w:r>
            <w:r>
              <w:rPr>
                <w:rFonts w:cs="Arial"/>
                <w:color w:val="000000"/>
              </w:rPr>
              <w:t>ETF’s</w:t>
            </w:r>
            <w:r w:rsidR="006C6775">
              <w:rPr>
                <w:rFonts w:cs="Arial"/>
                <w:color w:val="000000"/>
              </w:rPr>
              <w:t xml:space="preserve"> </w:t>
            </w:r>
            <w:r w:rsidRPr="00BD454D">
              <w:rPr>
                <w:rFonts w:cs="Arial"/>
                <w:color w:val="000000"/>
              </w:rPr>
              <w:t xml:space="preserve">request, the </w:t>
            </w:r>
            <w:r w:rsidR="00A146AC">
              <w:rPr>
                <w:rFonts w:cs="Arial"/>
                <w:color w:val="000000"/>
              </w:rPr>
              <w:t>Contractor</w:t>
            </w:r>
            <w:r w:rsidRPr="00BD454D">
              <w:rPr>
                <w:rFonts w:cs="Arial"/>
                <w:color w:val="000000"/>
              </w:rPr>
              <w:t xml:space="preserve"> </w:t>
            </w:r>
            <w:r>
              <w:rPr>
                <w:rFonts w:cs="Arial"/>
                <w:color w:val="000000"/>
              </w:rPr>
              <w:t>must</w:t>
            </w:r>
            <w:r w:rsidRPr="00BD454D">
              <w:rPr>
                <w:rFonts w:cs="Arial"/>
                <w:color w:val="000000"/>
              </w:rPr>
              <w:t xml:space="preserve"> submit these procedures for review and approval by </w:t>
            </w:r>
            <w:r w:rsidR="00D75231">
              <w:rPr>
                <w:rFonts w:cs="Arial"/>
                <w:color w:val="000000"/>
              </w:rPr>
              <w:t>ETF</w:t>
            </w:r>
            <w:r w:rsidRPr="00BD454D">
              <w:rPr>
                <w:rFonts w:cs="Arial"/>
                <w:color w:val="000000"/>
              </w:rPr>
              <w:t>.</w:t>
            </w:r>
            <w:r w:rsidR="002959CC">
              <w:rPr>
                <w:rFonts w:cs="Arial"/>
                <w:color w:val="000000"/>
              </w:rPr>
              <w:t xml:space="preserve"> At least five percent (5%) of all </w:t>
            </w:r>
            <w:r w:rsidR="00E46012">
              <w:rPr>
                <w:rFonts w:cs="Arial"/>
                <w:color w:val="000000"/>
              </w:rPr>
              <w:t xml:space="preserve">Member </w:t>
            </w:r>
            <w:r w:rsidR="002959CC">
              <w:rPr>
                <w:rFonts w:cs="Arial"/>
                <w:color w:val="000000"/>
              </w:rPr>
              <w:t>inquir</w:t>
            </w:r>
            <w:r w:rsidR="00EB41C5">
              <w:rPr>
                <w:rFonts w:cs="Arial"/>
                <w:color w:val="000000"/>
              </w:rPr>
              <w:t>i</w:t>
            </w:r>
            <w:r w:rsidR="002959CC">
              <w:rPr>
                <w:rFonts w:cs="Arial"/>
                <w:color w:val="000000"/>
              </w:rPr>
              <w:t xml:space="preserve">es made by each submission type (e.g. phone, email, </w:t>
            </w:r>
            <w:r w:rsidR="008C379A">
              <w:rPr>
                <w:rFonts w:cs="Arial"/>
                <w:color w:val="000000"/>
              </w:rPr>
              <w:t>web-portal</w:t>
            </w:r>
            <w:r w:rsidR="002959CC">
              <w:rPr>
                <w:rFonts w:cs="Arial"/>
                <w:color w:val="000000"/>
              </w:rPr>
              <w:t xml:space="preserve">) must be reviewed by </w:t>
            </w:r>
            <w:r w:rsidR="00A146AC">
              <w:rPr>
                <w:rFonts w:cs="Arial"/>
                <w:color w:val="000000"/>
              </w:rPr>
              <w:t>Contractor</w:t>
            </w:r>
            <w:r w:rsidR="002959CC">
              <w:rPr>
                <w:rFonts w:cs="Arial"/>
                <w:color w:val="000000"/>
              </w:rPr>
              <w:t xml:space="preserve"> management staff (e.g. lead worker, supervisor, manager) to ensure accurate information was given </w:t>
            </w:r>
            <w:r w:rsidR="003D7418">
              <w:rPr>
                <w:rFonts w:cs="Arial"/>
                <w:color w:val="000000"/>
              </w:rPr>
              <w:t>to</w:t>
            </w:r>
            <w:r w:rsidR="002959CC">
              <w:rPr>
                <w:rFonts w:cs="Arial"/>
                <w:color w:val="000000"/>
              </w:rPr>
              <w:t xml:space="preserve"> ETF </w:t>
            </w:r>
            <w:r w:rsidR="00E46012">
              <w:rPr>
                <w:rFonts w:cs="Arial"/>
                <w:color w:val="000000"/>
              </w:rPr>
              <w:t>Members</w:t>
            </w:r>
            <w:r w:rsidR="002959CC">
              <w:rPr>
                <w:rFonts w:cs="Arial"/>
                <w:color w:val="000000"/>
              </w:rPr>
              <w:t xml:space="preserve"> and appropriate coaching and training is given to </w:t>
            </w:r>
            <w:r w:rsidR="002959CC" w:rsidRPr="002959CC">
              <w:rPr>
                <w:rFonts w:cs="Arial"/>
                <w:color w:val="000000"/>
              </w:rPr>
              <w:t xml:space="preserve">customer service representatives who fail to accurately respond to </w:t>
            </w:r>
            <w:r w:rsidR="00E46012">
              <w:rPr>
                <w:rFonts w:cs="Arial"/>
                <w:color w:val="000000"/>
              </w:rPr>
              <w:t>Members</w:t>
            </w:r>
            <w:r w:rsidR="002959CC">
              <w:rPr>
                <w:rFonts w:cs="Arial"/>
                <w:color w:val="000000"/>
              </w:rPr>
              <w:t>.</w:t>
            </w:r>
          </w:p>
        </w:tc>
      </w:tr>
      <w:tr w:rsidR="007D2C86" w14:paraId="7575CCF6" w14:textId="77777777" w:rsidTr="0059128F">
        <w:tc>
          <w:tcPr>
            <w:tcW w:w="535" w:type="dxa"/>
          </w:tcPr>
          <w:p w14:paraId="6693C700" w14:textId="77777777" w:rsidR="007D2C86" w:rsidRDefault="007D2C86" w:rsidP="00F01E1A">
            <w:pPr>
              <w:pStyle w:val="ListParagraph"/>
              <w:numPr>
                <w:ilvl w:val="0"/>
                <w:numId w:val="45"/>
              </w:numPr>
            </w:pPr>
          </w:p>
        </w:tc>
        <w:tc>
          <w:tcPr>
            <w:tcW w:w="8815" w:type="dxa"/>
            <w:vAlign w:val="bottom"/>
          </w:tcPr>
          <w:p w14:paraId="50F69D5A" w14:textId="05A1832A" w:rsidR="007D2C86" w:rsidRPr="00446723" w:rsidRDefault="008D6062" w:rsidP="007D2C86">
            <w:pPr>
              <w:pStyle w:val="LRWLBodyText"/>
              <w:rPr>
                <w:rFonts w:cs="Arial"/>
                <w:color w:val="000000"/>
              </w:rPr>
            </w:pPr>
            <w:r>
              <w:rPr>
                <w:rFonts w:cs="Arial"/>
                <w:color w:val="000000"/>
              </w:rPr>
              <w:t xml:space="preserve">The </w:t>
            </w:r>
            <w:r w:rsidR="00A146AC">
              <w:rPr>
                <w:rFonts w:cs="Arial"/>
                <w:color w:val="000000"/>
              </w:rPr>
              <w:t>Contractor</w:t>
            </w:r>
            <w:r w:rsidR="007D2C86" w:rsidRPr="00446723">
              <w:rPr>
                <w:rFonts w:cs="Arial"/>
                <w:color w:val="000000"/>
              </w:rPr>
              <w:t xml:space="preserve"> must conduct satisfaction survey</w:t>
            </w:r>
            <w:r w:rsidR="006C6775">
              <w:rPr>
                <w:rFonts w:cs="Arial"/>
                <w:color w:val="000000"/>
              </w:rPr>
              <w:t>s</w:t>
            </w:r>
            <w:r w:rsidR="007D2C86" w:rsidRPr="00446723">
              <w:rPr>
                <w:rFonts w:cs="Arial"/>
                <w:color w:val="000000"/>
              </w:rPr>
              <w:t xml:space="preserve">, provided to a </w:t>
            </w:r>
            <w:r w:rsidR="006C6775">
              <w:rPr>
                <w:rFonts w:cs="Arial"/>
                <w:color w:val="000000"/>
              </w:rPr>
              <w:t xml:space="preserve">statistically valid </w:t>
            </w:r>
            <w:r w:rsidR="007D2C86" w:rsidRPr="00446723">
              <w:rPr>
                <w:rFonts w:cs="Arial"/>
                <w:color w:val="000000"/>
              </w:rPr>
              <w:t xml:space="preserve">random sample of </w:t>
            </w:r>
            <w:r w:rsidR="00E46012">
              <w:rPr>
                <w:rFonts w:cs="Arial"/>
                <w:color w:val="000000"/>
              </w:rPr>
              <w:t xml:space="preserve">Members and </w:t>
            </w:r>
            <w:r w:rsidR="007D2C86" w:rsidRPr="00446723">
              <w:rPr>
                <w:rFonts w:cs="Arial"/>
                <w:color w:val="000000"/>
              </w:rPr>
              <w:t>program Participants. Th</w:t>
            </w:r>
            <w:r w:rsidR="006C6775">
              <w:rPr>
                <w:rFonts w:cs="Arial"/>
                <w:color w:val="000000"/>
              </w:rPr>
              <w:t>ese</w:t>
            </w:r>
            <w:r w:rsidR="007D2C86" w:rsidRPr="00446723">
              <w:rPr>
                <w:rFonts w:cs="Arial"/>
                <w:color w:val="000000"/>
              </w:rPr>
              <w:t xml:space="preserve"> surveys </w:t>
            </w:r>
            <w:r w:rsidR="00981318">
              <w:rPr>
                <w:rFonts w:cs="Arial"/>
                <w:color w:val="000000"/>
              </w:rPr>
              <w:t>must</w:t>
            </w:r>
            <w:r w:rsidR="006C6775">
              <w:rPr>
                <w:rFonts w:cs="Arial"/>
                <w:color w:val="000000"/>
              </w:rPr>
              <w:t xml:space="preserve"> </w:t>
            </w:r>
            <w:r w:rsidR="007D2C86" w:rsidRPr="00446723">
              <w:rPr>
                <w:rFonts w:cs="Arial"/>
                <w:color w:val="000000"/>
              </w:rPr>
              <w:t xml:space="preserve">measure satisfaction </w:t>
            </w:r>
            <w:r w:rsidR="00981318">
              <w:rPr>
                <w:rFonts w:cs="Arial"/>
                <w:color w:val="000000"/>
              </w:rPr>
              <w:t>in the following categories</w:t>
            </w:r>
            <w:r w:rsidR="007D2C86" w:rsidRPr="00446723">
              <w:rPr>
                <w:rFonts w:cs="Arial"/>
                <w:color w:val="000000"/>
              </w:rPr>
              <w:t>:</w:t>
            </w:r>
          </w:p>
          <w:p w14:paraId="1FFF5C77" w14:textId="1C409329" w:rsidR="007D2C86" w:rsidRPr="008C7043" w:rsidRDefault="007D2C86" w:rsidP="00EB41C5">
            <w:pPr>
              <w:pStyle w:val="LRWLBodyText"/>
              <w:numPr>
                <w:ilvl w:val="0"/>
                <w:numId w:val="15"/>
              </w:numPr>
              <w:rPr>
                <w:rFonts w:cs="Arial"/>
                <w:color w:val="000000"/>
              </w:rPr>
            </w:pPr>
            <w:r w:rsidRPr="00446723">
              <w:rPr>
                <w:rFonts w:cs="Arial"/>
                <w:color w:val="000000"/>
              </w:rPr>
              <w:t xml:space="preserve">Customer </w:t>
            </w:r>
            <w:r w:rsidR="00D93863">
              <w:rPr>
                <w:rFonts w:cs="Arial"/>
                <w:color w:val="000000"/>
              </w:rPr>
              <w:t>s</w:t>
            </w:r>
            <w:r w:rsidRPr="00446723">
              <w:rPr>
                <w:rFonts w:cs="Arial"/>
                <w:color w:val="000000"/>
              </w:rPr>
              <w:t>ervice</w:t>
            </w:r>
            <w:r w:rsidR="00D93863">
              <w:rPr>
                <w:rFonts w:cs="Arial"/>
                <w:color w:val="000000"/>
              </w:rPr>
              <w:t>;</w:t>
            </w:r>
          </w:p>
          <w:p w14:paraId="228B01BF" w14:textId="46E75E0B" w:rsidR="007D2C86" w:rsidRPr="008C7043" w:rsidRDefault="007D2C86" w:rsidP="00EB41C5">
            <w:pPr>
              <w:pStyle w:val="LRWLBodyText"/>
              <w:numPr>
                <w:ilvl w:val="0"/>
                <w:numId w:val="15"/>
              </w:numPr>
              <w:rPr>
                <w:rFonts w:cs="Arial"/>
                <w:color w:val="000000"/>
              </w:rPr>
            </w:pPr>
            <w:r w:rsidRPr="00446723">
              <w:rPr>
                <w:rFonts w:cs="Arial"/>
                <w:color w:val="000000"/>
              </w:rPr>
              <w:lastRenderedPageBreak/>
              <w:t xml:space="preserve">Biometric </w:t>
            </w:r>
            <w:r w:rsidR="00D93863">
              <w:rPr>
                <w:rFonts w:cs="Arial"/>
                <w:color w:val="000000"/>
              </w:rPr>
              <w:t>s</w:t>
            </w:r>
            <w:r w:rsidRPr="00446723">
              <w:rPr>
                <w:rFonts w:cs="Arial"/>
                <w:color w:val="000000"/>
              </w:rPr>
              <w:t xml:space="preserve">creening </w:t>
            </w:r>
            <w:r w:rsidR="00D93863">
              <w:rPr>
                <w:rFonts w:cs="Arial"/>
                <w:color w:val="000000"/>
              </w:rPr>
              <w:t>e</w:t>
            </w:r>
            <w:r w:rsidRPr="00446723">
              <w:rPr>
                <w:rFonts w:cs="Arial"/>
                <w:color w:val="000000"/>
              </w:rPr>
              <w:t>xperience</w:t>
            </w:r>
            <w:r w:rsidR="00D93863">
              <w:rPr>
                <w:rFonts w:cs="Arial"/>
                <w:color w:val="000000"/>
              </w:rPr>
              <w:t>;</w:t>
            </w:r>
          </w:p>
          <w:p w14:paraId="7D1EEE6A" w14:textId="26EC0683" w:rsidR="007D2C86" w:rsidRPr="008C7043" w:rsidRDefault="007D2C86" w:rsidP="00EB41C5">
            <w:pPr>
              <w:pStyle w:val="LRWLBodyText"/>
              <w:numPr>
                <w:ilvl w:val="0"/>
                <w:numId w:val="15"/>
              </w:numPr>
              <w:rPr>
                <w:rFonts w:cs="Arial"/>
                <w:color w:val="000000"/>
              </w:rPr>
            </w:pPr>
            <w:r w:rsidRPr="008C7043">
              <w:rPr>
                <w:rFonts w:cs="Arial"/>
                <w:color w:val="000000"/>
              </w:rPr>
              <w:t xml:space="preserve">Health </w:t>
            </w:r>
            <w:r w:rsidR="00D93863">
              <w:rPr>
                <w:rFonts w:cs="Arial"/>
                <w:color w:val="000000"/>
              </w:rPr>
              <w:t>r</w:t>
            </w:r>
            <w:r w:rsidRPr="008C7043">
              <w:rPr>
                <w:rFonts w:cs="Arial"/>
                <w:color w:val="000000"/>
              </w:rPr>
              <w:t xml:space="preserve">isk </w:t>
            </w:r>
            <w:r w:rsidR="00D93863">
              <w:rPr>
                <w:rFonts w:cs="Arial"/>
                <w:color w:val="000000"/>
              </w:rPr>
              <w:t>a</w:t>
            </w:r>
            <w:r w:rsidRPr="008C7043">
              <w:rPr>
                <w:rFonts w:cs="Arial"/>
                <w:color w:val="000000"/>
              </w:rPr>
              <w:t>ssessment</w:t>
            </w:r>
            <w:r w:rsidR="00D93863">
              <w:rPr>
                <w:rFonts w:cs="Arial"/>
                <w:color w:val="000000"/>
              </w:rPr>
              <w:t>; and</w:t>
            </w:r>
          </w:p>
          <w:p w14:paraId="6D846BE5" w14:textId="2800D2C0" w:rsidR="007D2C86" w:rsidRDefault="008C379A" w:rsidP="00EB41C5">
            <w:pPr>
              <w:pStyle w:val="LRWLBodyText"/>
              <w:numPr>
                <w:ilvl w:val="0"/>
                <w:numId w:val="15"/>
              </w:numPr>
              <w:rPr>
                <w:rFonts w:cs="Arial"/>
                <w:color w:val="000000"/>
              </w:rPr>
            </w:pPr>
            <w:r>
              <w:rPr>
                <w:rFonts w:cs="Arial"/>
                <w:color w:val="000000"/>
              </w:rPr>
              <w:t>Web-portal</w:t>
            </w:r>
            <w:r w:rsidR="007D2C86" w:rsidRPr="008C7043">
              <w:rPr>
                <w:rFonts w:cs="Arial"/>
                <w:color w:val="000000"/>
              </w:rPr>
              <w:t xml:space="preserve"> </w:t>
            </w:r>
            <w:r w:rsidR="00D93863">
              <w:rPr>
                <w:rFonts w:cs="Arial"/>
                <w:color w:val="000000"/>
              </w:rPr>
              <w:t>e</w:t>
            </w:r>
            <w:r w:rsidR="007D2C86" w:rsidRPr="008C7043">
              <w:rPr>
                <w:rFonts w:cs="Arial"/>
                <w:color w:val="000000"/>
              </w:rPr>
              <w:t>xperience</w:t>
            </w:r>
            <w:r w:rsidR="00D93863">
              <w:rPr>
                <w:rFonts w:cs="Arial"/>
                <w:color w:val="000000"/>
              </w:rPr>
              <w:t>.</w:t>
            </w:r>
          </w:p>
          <w:p w14:paraId="4E462E94" w14:textId="4914A29B" w:rsidR="00C62EE6" w:rsidRPr="008C7043" w:rsidRDefault="00C62EE6" w:rsidP="00C62EE6">
            <w:pPr>
              <w:pStyle w:val="LRWLBodyText"/>
              <w:rPr>
                <w:rFonts w:cs="Arial"/>
                <w:color w:val="000000"/>
              </w:rPr>
            </w:pPr>
            <w:r>
              <w:rPr>
                <w:rFonts w:cs="Arial"/>
                <w:color w:val="000000"/>
              </w:rPr>
              <w:t xml:space="preserve">All surveys must use a </w:t>
            </w:r>
            <w:r w:rsidR="00C360B7">
              <w:rPr>
                <w:rFonts w:cs="Arial"/>
                <w:color w:val="000000"/>
              </w:rPr>
              <w:t>five (</w:t>
            </w:r>
            <w:r>
              <w:rPr>
                <w:rFonts w:cs="Arial"/>
                <w:color w:val="000000"/>
              </w:rPr>
              <w:t>5</w:t>
            </w:r>
            <w:r w:rsidR="00C360B7">
              <w:rPr>
                <w:rFonts w:cs="Arial"/>
                <w:color w:val="000000"/>
              </w:rPr>
              <w:t>)</w:t>
            </w:r>
            <w:r>
              <w:rPr>
                <w:rFonts w:cs="Arial"/>
                <w:color w:val="000000"/>
              </w:rPr>
              <w:t xml:space="preserve">-point rating scale and content must be approved by </w:t>
            </w:r>
            <w:r w:rsidR="00D75231">
              <w:rPr>
                <w:rFonts w:cs="Arial"/>
                <w:color w:val="000000"/>
              </w:rPr>
              <w:t xml:space="preserve">the </w:t>
            </w:r>
            <w:r>
              <w:rPr>
                <w:rFonts w:cs="Arial"/>
                <w:color w:val="000000"/>
              </w:rPr>
              <w:t xml:space="preserve">ETF </w:t>
            </w:r>
            <w:r w:rsidR="00D75231">
              <w:rPr>
                <w:rFonts w:cs="Arial"/>
                <w:color w:val="000000"/>
              </w:rPr>
              <w:t xml:space="preserve">Program Manager </w:t>
            </w:r>
            <w:r>
              <w:rPr>
                <w:rFonts w:cs="Arial"/>
                <w:color w:val="000000"/>
              </w:rPr>
              <w:t>prior to distribution.</w:t>
            </w:r>
          </w:p>
        </w:tc>
      </w:tr>
      <w:tr w:rsidR="007D2C86" w14:paraId="389485D3" w14:textId="77777777" w:rsidTr="0059128F">
        <w:tc>
          <w:tcPr>
            <w:tcW w:w="535" w:type="dxa"/>
          </w:tcPr>
          <w:p w14:paraId="257809B8" w14:textId="77777777" w:rsidR="007D2C86" w:rsidRDefault="007D2C86" w:rsidP="00F01E1A">
            <w:pPr>
              <w:pStyle w:val="ListParagraph"/>
              <w:numPr>
                <w:ilvl w:val="0"/>
                <w:numId w:val="45"/>
              </w:numPr>
            </w:pPr>
          </w:p>
        </w:tc>
        <w:tc>
          <w:tcPr>
            <w:tcW w:w="8815" w:type="dxa"/>
          </w:tcPr>
          <w:p w14:paraId="0919A9D2" w14:textId="41AE55AA" w:rsidR="007D2C86" w:rsidRPr="008C7043" w:rsidRDefault="00BD454D" w:rsidP="00E46012">
            <w:pPr>
              <w:pStyle w:val="LRWLBodyText"/>
              <w:rPr>
                <w:rFonts w:cs="Arial"/>
                <w:color w:val="000000"/>
              </w:rPr>
            </w:pPr>
            <w:r w:rsidRPr="008C7043">
              <w:rPr>
                <w:rFonts w:cs="Arial"/>
                <w:color w:val="000000"/>
              </w:rPr>
              <w:t xml:space="preserve">The </w:t>
            </w:r>
            <w:r w:rsidR="00A146AC">
              <w:rPr>
                <w:rFonts w:cs="Arial"/>
                <w:color w:val="000000"/>
              </w:rPr>
              <w:t>Contractor</w:t>
            </w:r>
            <w:r w:rsidR="008C7043">
              <w:rPr>
                <w:rFonts w:cs="Arial"/>
                <w:color w:val="000000"/>
              </w:rPr>
              <w:t xml:space="preserve"> must </w:t>
            </w:r>
            <w:r w:rsidRPr="008C7043">
              <w:rPr>
                <w:rFonts w:cs="Arial"/>
                <w:color w:val="000000"/>
              </w:rPr>
              <w:t xml:space="preserve">designate a client service liaison to respond to </w:t>
            </w:r>
            <w:r w:rsidR="00E46012">
              <w:rPr>
                <w:rFonts w:cs="Arial"/>
                <w:color w:val="000000"/>
              </w:rPr>
              <w:t>Member</w:t>
            </w:r>
            <w:r w:rsidRPr="008C7043">
              <w:rPr>
                <w:rFonts w:cs="Arial"/>
                <w:color w:val="000000"/>
              </w:rPr>
              <w:t>-related</w:t>
            </w:r>
            <w:r w:rsidR="008C7043">
              <w:rPr>
                <w:rFonts w:cs="Arial"/>
                <w:color w:val="000000"/>
              </w:rPr>
              <w:t xml:space="preserve"> </w:t>
            </w:r>
            <w:r w:rsidRPr="008C7043">
              <w:rPr>
                <w:rFonts w:cs="Arial"/>
                <w:color w:val="000000"/>
              </w:rPr>
              <w:t xml:space="preserve">issues identified by </w:t>
            </w:r>
            <w:r w:rsidR="008C7043">
              <w:rPr>
                <w:rFonts w:cs="Arial"/>
                <w:color w:val="000000"/>
              </w:rPr>
              <w:t>ETF</w:t>
            </w:r>
            <w:r w:rsidRPr="008C7043">
              <w:rPr>
                <w:rFonts w:cs="Arial"/>
                <w:color w:val="000000"/>
              </w:rPr>
              <w:t xml:space="preserve">. For matters designated as urgent by </w:t>
            </w:r>
            <w:r w:rsidR="008C7043">
              <w:rPr>
                <w:rFonts w:cs="Arial"/>
                <w:color w:val="000000"/>
              </w:rPr>
              <w:t>ETF</w:t>
            </w:r>
            <w:r w:rsidRPr="008C7043">
              <w:rPr>
                <w:rFonts w:cs="Arial"/>
                <w:color w:val="000000"/>
              </w:rPr>
              <w:t>, the</w:t>
            </w:r>
            <w:r w:rsidR="008C7043">
              <w:rPr>
                <w:rFonts w:cs="Arial"/>
                <w:color w:val="000000"/>
              </w:rPr>
              <w:t xml:space="preserve"> </w:t>
            </w:r>
            <w:r w:rsidR="00A146AC">
              <w:rPr>
                <w:rFonts w:cs="Arial"/>
                <w:color w:val="000000"/>
              </w:rPr>
              <w:t>Contractor</w:t>
            </w:r>
            <w:r w:rsidR="008C7043">
              <w:rPr>
                <w:rFonts w:cs="Arial"/>
                <w:color w:val="000000"/>
              </w:rPr>
              <w:t xml:space="preserve"> must</w:t>
            </w:r>
            <w:r w:rsidRPr="008C7043">
              <w:rPr>
                <w:rFonts w:cs="Arial"/>
                <w:color w:val="000000"/>
              </w:rPr>
              <w:t xml:space="preserve"> contact the </w:t>
            </w:r>
            <w:r w:rsidR="00E46012">
              <w:rPr>
                <w:rFonts w:cs="Arial"/>
                <w:color w:val="000000"/>
              </w:rPr>
              <w:t xml:space="preserve">Member </w:t>
            </w:r>
            <w:r w:rsidR="008C7043">
              <w:rPr>
                <w:rFonts w:cs="Arial"/>
                <w:color w:val="000000"/>
              </w:rPr>
              <w:t xml:space="preserve">within </w:t>
            </w:r>
            <w:r w:rsidR="005A6459">
              <w:rPr>
                <w:rFonts w:cs="Arial"/>
                <w:color w:val="000000"/>
              </w:rPr>
              <w:t>two (2) Business Days</w:t>
            </w:r>
            <w:r w:rsidR="008C7043">
              <w:rPr>
                <w:rFonts w:cs="Arial"/>
                <w:color w:val="000000"/>
              </w:rPr>
              <w:t xml:space="preserve"> </w:t>
            </w:r>
            <w:r w:rsidR="003D7418">
              <w:rPr>
                <w:rFonts w:cs="Arial"/>
                <w:color w:val="000000"/>
              </w:rPr>
              <w:t xml:space="preserve">of receiving a request from ETF </w:t>
            </w:r>
            <w:r w:rsidR="006A7F14">
              <w:rPr>
                <w:rFonts w:cs="Arial"/>
              </w:rPr>
              <w:t>and actively communicate on issue resolution status with the ETF</w:t>
            </w:r>
            <w:r w:rsidR="00DB7BAB">
              <w:rPr>
                <w:rFonts w:cs="Arial"/>
              </w:rPr>
              <w:t xml:space="preserve"> Program Manager</w:t>
            </w:r>
            <w:r w:rsidR="006A7F14">
              <w:rPr>
                <w:rFonts w:cs="Arial"/>
              </w:rPr>
              <w:t xml:space="preserve"> until the issue is resolved.</w:t>
            </w:r>
          </w:p>
        </w:tc>
      </w:tr>
      <w:tr w:rsidR="007A42ED" w14:paraId="17B26623" w14:textId="77777777" w:rsidTr="0059128F">
        <w:tc>
          <w:tcPr>
            <w:tcW w:w="535" w:type="dxa"/>
          </w:tcPr>
          <w:p w14:paraId="06D7C896" w14:textId="77777777" w:rsidR="007A42ED" w:rsidRDefault="007A42ED" w:rsidP="00F01E1A">
            <w:pPr>
              <w:pStyle w:val="ListParagraph"/>
              <w:numPr>
                <w:ilvl w:val="0"/>
                <w:numId w:val="45"/>
              </w:numPr>
            </w:pPr>
          </w:p>
        </w:tc>
        <w:tc>
          <w:tcPr>
            <w:tcW w:w="8815" w:type="dxa"/>
          </w:tcPr>
          <w:p w14:paraId="1F36E315" w14:textId="22C3D62F" w:rsidR="007A42ED" w:rsidRPr="008C7043" w:rsidRDefault="003015A8" w:rsidP="003A4BE4">
            <w:pPr>
              <w:pStyle w:val="LRWLBodyText"/>
              <w:rPr>
                <w:rFonts w:cs="Arial"/>
                <w:color w:val="000000"/>
              </w:rPr>
            </w:pPr>
            <w:r>
              <w:t xml:space="preserve">The </w:t>
            </w:r>
            <w:r w:rsidR="00A146AC">
              <w:t>Contractor</w:t>
            </w:r>
            <w:r>
              <w:t xml:space="preserve"> must meet the performance standards for </w:t>
            </w:r>
            <w:r w:rsidR="00773ECA">
              <w:t>C</w:t>
            </w:r>
            <w:r>
              <w:t xml:space="preserve">ustomer </w:t>
            </w:r>
            <w:r w:rsidR="00773ECA">
              <w:t>S</w:t>
            </w:r>
            <w:r>
              <w:t xml:space="preserve">ervice detailed in </w:t>
            </w:r>
            <w:r w:rsidR="00356CA1">
              <w:rPr>
                <w:rFonts w:cs="Arial"/>
              </w:rPr>
              <w:t>Appendix 7 Performance Standards</w:t>
            </w:r>
            <w:r>
              <w:t>.</w:t>
            </w:r>
          </w:p>
        </w:tc>
      </w:tr>
    </w:tbl>
    <w:p w14:paraId="4849A63C" w14:textId="23B4C9A0" w:rsidR="00F57731" w:rsidRDefault="00E46012" w:rsidP="00644C74">
      <w:pPr>
        <w:pStyle w:val="Heading2"/>
        <w:ind w:hanging="1926"/>
      </w:pPr>
      <w:r>
        <w:t xml:space="preserve">Member </w:t>
      </w:r>
      <w:r w:rsidR="00B51E41">
        <w:t>Complaints and Grievances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965163" w14:paraId="62A4CEAC" w14:textId="77777777" w:rsidTr="0059128F">
        <w:tc>
          <w:tcPr>
            <w:tcW w:w="535" w:type="dxa"/>
          </w:tcPr>
          <w:p w14:paraId="67DCC1DF" w14:textId="77777777" w:rsidR="00965163" w:rsidRDefault="00965163" w:rsidP="00F01E1A">
            <w:pPr>
              <w:pStyle w:val="ListParagraph"/>
              <w:numPr>
                <w:ilvl w:val="0"/>
                <w:numId w:val="29"/>
              </w:numPr>
            </w:pPr>
          </w:p>
        </w:tc>
        <w:tc>
          <w:tcPr>
            <w:tcW w:w="8815" w:type="dxa"/>
          </w:tcPr>
          <w:p w14:paraId="1B067AE1" w14:textId="712C797A" w:rsidR="00965163" w:rsidRPr="00B349AC" w:rsidRDefault="00E2525C">
            <w:pPr>
              <w:pStyle w:val="LRWLBodyText"/>
              <w:rPr>
                <w:rFonts w:cs="Arial"/>
              </w:rPr>
            </w:pPr>
            <w:r>
              <w:rPr>
                <w:rFonts w:cs="Arial"/>
              </w:rPr>
              <w:t xml:space="preserve">Within </w:t>
            </w:r>
            <w:r w:rsidRPr="00965163">
              <w:rPr>
                <w:rFonts w:cs="Arial"/>
              </w:rPr>
              <w:t>thirty</w:t>
            </w:r>
            <w:r w:rsidR="00AD7BC0">
              <w:rPr>
                <w:rFonts w:cs="Arial"/>
              </w:rPr>
              <w:t xml:space="preserve"> </w:t>
            </w:r>
            <w:r w:rsidR="00965163" w:rsidRPr="00965163">
              <w:rPr>
                <w:rFonts w:cs="Arial"/>
              </w:rPr>
              <w:t>(</w:t>
            </w:r>
            <w:r w:rsidR="00AD7BC0">
              <w:rPr>
                <w:rFonts w:cs="Arial"/>
              </w:rPr>
              <w:t>30</w:t>
            </w:r>
            <w:r w:rsidR="00965163" w:rsidRPr="00965163">
              <w:rPr>
                <w:rFonts w:cs="Arial"/>
              </w:rPr>
              <w:t xml:space="preserve">) </w:t>
            </w:r>
            <w:r w:rsidR="00AD7BC0">
              <w:rPr>
                <w:rFonts w:cs="Arial"/>
              </w:rPr>
              <w:t>Days</w:t>
            </w:r>
            <w:r w:rsidR="00965163" w:rsidRPr="00965163">
              <w:rPr>
                <w:rFonts w:cs="Arial"/>
              </w:rPr>
              <w:t xml:space="preserve"> </w:t>
            </w:r>
            <w:r w:rsidR="00EC4D4E">
              <w:rPr>
                <w:rFonts w:cs="Arial"/>
              </w:rPr>
              <w:t>of the Contract start date</w:t>
            </w:r>
            <w:r w:rsidR="00965163" w:rsidRPr="00965163">
              <w:rPr>
                <w:rFonts w:cs="Arial"/>
              </w:rPr>
              <w:t xml:space="preserve">, the </w:t>
            </w:r>
            <w:r w:rsidR="00A146AC">
              <w:rPr>
                <w:rFonts w:cs="Arial"/>
              </w:rPr>
              <w:t>Contractor</w:t>
            </w:r>
            <w:r w:rsidR="00965163" w:rsidRPr="00965163">
              <w:rPr>
                <w:rFonts w:cs="Arial"/>
              </w:rPr>
              <w:t xml:space="preserve"> must provide ETF information describing in detail the </w:t>
            </w:r>
            <w:r w:rsidR="00A146AC">
              <w:rPr>
                <w:rFonts w:cs="Arial"/>
              </w:rPr>
              <w:t>Contractor</w:t>
            </w:r>
            <w:r w:rsidR="00965163" w:rsidRPr="00965163">
              <w:rPr>
                <w:rFonts w:cs="Arial"/>
              </w:rPr>
              <w:t>’s process and procedures for complaints and grievances, including any communication templates for responses. ETF reserves the right to review the complaint process and procedures and</w:t>
            </w:r>
            <w:r w:rsidR="005A6459">
              <w:rPr>
                <w:rFonts w:cs="Arial"/>
              </w:rPr>
              <w:t xml:space="preserve"> templates </w:t>
            </w:r>
            <w:r w:rsidR="00965163" w:rsidRPr="00965163">
              <w:rPr>
                <w:rFonts w:cs="Arial"/>
              </w:rPr>
              <w:t>and require changes, where appropriate.</w:t>
            </w:r>
            <w:r w:rsidR="00965163">
              <w:rPr>
                <w:rFonts w:cs="Arial"/>
              </w:rPr>
              <w:t xml:space="preserve"> </w:t>
            </w:r>
            <w:r w:rsidR="00AD0703">
              <w:rPr>
                <w:rFonts w:cs="Arial"/>
              </w:rPr>
              <w:t xml:space="preserve">The </w:t>
            </w:r>
            <w:r w:rsidR="00A146AC">
              <w:rPr>
                <w:rFonts w:cs="Arial"/>
              </w:rPr>
              <w:t>Contractor</w:t>
            </w:r>
            <w:r w:rsidR="00965163">
              <w:rPr>
                <w:rFonts w:cs="Arial"/>
              </w:rPr>
              <w:t xml:space="preserve"> must update </w:t>
            </w:r>
            <w:r w:rsidR="003D7418">
              <w:rPr>
                <w:rFonts w:cs="Arial"/>
              </w:rPr>
              <w:t>its complaint and grievance</w:t>
            </w:r>
            <w:r w:rsidR="00965163">
              <w:rPr>
                <w:rFonts w:cs="Arial"/>
              </w:rPr>
              <w:t xml:space="preserve"> </w:t>
            </w:r>
            <w:r w:rsidR="00965163" w:rsidRPr="00965163">
              <w:rPr>
                <w:rFonts w:cs="Arial"/>
              </w:rPr>
              <w:t>process and procedures</w:t>
            </w:r>
            <w:r w:rsidR="00965163">
              <w:rPr>
                <w:rFonts w:cs="Arial"/>
              </w:rPr>
              <w:t xml:space="preserve"> annually, and resubmit to ETF</w:t>
            </w:r>
            <w:r w:rsidR="003D7418">
              <w:rPr>
                <w:rFonts w:cs="Arial"/>
              </w:rPr>
              <w:t xml:space="preserve"> promptly</w:t>
            </w:r>
            <w:r w:rsidR="00965163">
              <w:rPr>
                <w:rFonts w:cs="Arial"/>
              </w:rPr>
              <w:t>.</w:t>
            </w:r>
          </w:p>
        </w:tc>
      </w:tr>
      <w:tr w:rsidR="00E01E51" w14:paraId="2261F1CB" w14:textId="77777777" w:rsidTr="0059128F">
        <w:tc>
          <w:tcPr>
            <w:tcW w:w="535" w:type="dxa"/>
          </w:tcPr>
          <w:p w14:paraId="6849A84B" w14:textId="77777777" w:rsidR="00E01E51" w:rsidRDefault="00E01E51" w:rsidP="00F01E1A">
            <w:pPr>
              <w:pStyle w:val="ListParagraph"/>
              <w:numPr>
                <w:ilvl w:val="0"/>
                <w:numId w:val="29"/>
              </w:numPr>
            </w:pPr>
          </w:p>
        </w:tc>
        <w:tc>
          <w:tcPr>
            <w:tcW w:w="8815" w:type="dxa"/>
          </w:tcPr>
          <w:p w14:paraId="75A1199A" w14:textId="1966AA96" w:rsidR="00E01E51" w:rsidRDefault="00AD0703" w:rsidP="003B72B4">
            <w:pPr>
              <w:pStyle w:val="LRWLBodyText"/>
              <w:rPr>
                <w:rFonts w:cs="Arial"/>
              </w:rPr>
            </w:pPr>
            <w:r>
              <w:rPr>
                <w:rFonts w:cs="Arial"/>
              </w:rPr>
              <w:t xml:space="preserve">The </w:t>
            </w:r>
            <w:r w:rsidR="00A146AC">
              <w:rPr>
                <w:rFonts w:cs="Arial"/>
              </w:rPr>
              <w:t>Contractor</w:t>
            </w:r>
            <w:r w:rsidR="00965163" w:rsidRPr="00B349AC">
              <w:rPr>
                <w:rFonts w:cs="Arial"/>
              </w:rPr>
              <w:t xml:space="preserve"> </w:t>
            </w:r>
            <w:r w:rsidR="00965163">
              <w:rPr>
                <w:rFonts w:cs="Arial"/>
              </w:rPr>
              <w:t>must</w:t>
            </w:r>
            <w:r w:rsidR="00965163" w:rsidRPr="00B349AC">
              <w:rPr>
                <w:rFonts w:cs="Arial"/>
              </w:rPr>
              <w:t xml:space="preserve"> have an effective mechanism for handling complaints and grievances made by </w:t>
            </w:r>
            <w:r w:rsidR="00E46012">
              <w:rPr>
                <w:rFonts w:cs="Arial"/>
              </w:rPr>
              <w:t>Members</w:t>
            </w:r>
            <w:r w:rsidR="003D7418">
              <w:rPr>
                <w:rFonts w:cs="Arial"/>
              </w:rPr>
              <w:t>.</w:t>
            </w:r>
            <w:r w:rsidR="00D70269">
              <w:rPr>
                <w:rFonts w:cs="Arial"/>
              </w:rPr>
              <w:t xml:space="preserve"> </w:t>
            </w:r>
            <w:r w:rsidR="00C94564" w:rsidRPr="00B349AC">
              <w:rPr>
                <w:rFonts w:cs="Arial"/>
              </w:rPr>
              <w:t>This includes a formal grievance procedure, which at a minimum complies with</w:t>
            </w:r>
            <w:r w:rsidR="00C94564">
              <w:rPr>
                <w:rFonts w:cs="Arial"/>
              </w:rPr>
              <w:t xml:space="preserve"> the provisions of</w:t>
            </w:r>
            <w:r w:rsidR="00C94564" w:rsidRPr="00B349AC">
              <w:rPr>
                <w:rFonts w:cs="Arial"/>
              </w:rPr>
              <w:t xml:space="preserve"> Wis. Adm. Code § INS 18.03</w:t>
            </w:r>
            <w:r w:rsidR="00C94564">
              <w:rPr>
                <w:rFonts w:cs="Arial"/>
              </w:rPr>
              <w:t xml:space="preserve"> that are applicable to a “health benefit plan”</w:t>
            </w:r>
            <w:r w:rsidR="00C94564" w:rsidRPr="00B349AC">
              <w:rPr>
                <w:rFonts w:cs="Arial"/>
              </w:rPr>
              <w:t xml:space="preserve">, </w:t>
            </w:r>
            <w:r w:rsidR="00E01E51" w:rsidRPr="00B349AC">
              <w:rPr>
                <w:rFonts w:cs="Arial"/>
              </w:rPr>
              <w:t xml:space="preserve">whereby the </w:t>
            </w:r>
            <w:r w:rsidR="00E46012">
              <w:rPr>
                <w:rFonts w:cs="Arial"/>
              </w:rPr>
              <w:t>Member</w:t>
            </w:r>
            <w:r w:rsidR="00E46012" w:rsidRPr="00B349AC">
              <w:rPr>
                <w:rFonts w:cs="Arial"/>
              </w:rPr>
              <w:t xml:space="preserve"> </w:t>
            </w:r>
            <w:r w:rsidR="00E01E51" w:rsidRPr="00B349AC">
              <w:rPr>
                <w:rFonts w:cs="Arial"/>
              </w:rPr>
              <w:t xml:space="preserve">is provided the opportunity to present a complaint to the </w:t>
            </w:r>
            <w:r w:rsidR="00A146AC">
              <w:rPr>
                <w:rFonts w:cs="Arial"/>
              </w:rPr>
              <w:t>Contractor</w:t>
            </w:r>
            <w:r w:rsidR="00E01E51" w:rsidRPr="00B349AC">
              <w:rPr>
                <w:rFonts w:cs="Arial"/>
              </w:rPr>
              <w:t xml:space="preserve"> and the </w:t>
            </w:r>
            <w:r w:rsidR="00A146AC">
              <w:rPr>
                <w:rFonts w:cs="Arial"/>
              </w:rPr>
              <w:t>Contractor</w:t>
            </w:r>
            <w:r w:rsidR="00E01E51" w:rsidRPr="00B349AC">
              <w:rPr>
                <w:rFonts w:cs="Arial"/>
              </w:rPr>
              <w:t xml:space="preserve"> will consider the complaint and advise the </w:t>
            </w:r>
            <w:r w:rsidR="00E46012">
              <w:rPr>
                <w:rFonts w:cs="Arial"/>
              </w:rPr>
              <w:t>Member</w:t>
            </w:r>
            <w:r w:rsidR="00E46012" w:rsidRPr="00B349AC">
              <w:rPr>
                <w:rFonts w:cs="Arial"/>
              </w:rPr>
              <w:t xml:space="preserve"> </w:t>
            </w:r>
            <w:r w:rsidR="00E01E51" w:rsidRPr="00B349AC">
              <w:rPr>
                <w:rFonts w:cs="Arial"/>
              </w:rPr>
              <w:t xml:space="preserve">of its final decision. </w:t>
            </w:r>
            <w:r w:rsidR="00E46012">
              <w:rPr>
                <w:rFonts w:cs="Arial"/>
              </w:rPr>
              <w:t xml:space="preserve">Members </w:t>
            </w:r>
            <w:r w:rsidR="003B72B4">
              <w:rPr>
                <w:rFonts w:cs="Arial"/>
              </w:rPr>
              <w:t xml:space="preserve">of </w:t>
            </w:r>
            <w:r w:rsidR="00D75670" w:rsidRPr="00435511">
              <w:rPr>
                <w:rFonts w:cs="Arial"/>
              </w:rPr>
              <w:t xml:space="preserve">the </w:t>
            </w:r>
            <w:r w:rsidR="00D75670">
              <w:rPr>
                <w:rFonts w:cs="Arial"/>
              </w:rPr>
              <w:t xml:space="preserve">GHIP/WPE </w:t>
            </w:r>
            <w:r w:rsidR="000A4B1E">
              <w:rPr>
                <w:rFonts w:cs="Arial"/>
              </w:rPr>
              <w:t>programs must</w:t>
            </w:r>
            <w:r w:rsidR="00E01E51" w:rsidRPr="00B349AC">
              <w:rPr>
                <w:rFonts w:cs="Arial"/>
              </w:rPr>
              <w:t xml:space="preserve"> be advised of the grievance process when </w:t>
            </w:r>
            <w:r w:rsidR="00E01E51">
              <w:rPr>
                <w:rFonts w:cs="Arial"/>
              </w:rPr>
              <w:t>a financial incentive</w:t>
            </w:r>
            <w:r w:rsidR="00E01E51" w:rsidRPr="00E07520">
              <w:rPr>
                <w:rFonts w:ascii="ArialMT" w:hAnsi="ArialMT" w:cs="ArialMT"/>
              </w:rPr>
              <w:t xml:space="preserve"> </w:t>
            </w:r>
            <w:r w:rsidR="00E01E51" w:rsidRPr="00B349AC">
              <w:rPr>
                <w:rFonts w:cs="Arial"/>
              </w:rPr>
              <w:t xml:space="preserve">is denied or if the </w:t>
            </w:r>
            <w:r w:rsidR="00E01E51" w:rsidRPr="00D70269">
              <w:rPr>
                <w:rFonts w:cs="Arial"/>
              </w:rPr>
              <w:t>enrollee</w:t>
            </w:r>
            <w:r w:rsidR="00E01E51" w:rsidRPr="00B349AC">
              <w:rPr>
                <w:rFonts w:cs="Arial"/>
              </w:rPr>
              <w:t xml:space="preserve"> expresses, in writing, dissatisfaction with </w:t>
            </w:r>
            <w:r w:rsidR="00E01E51" w:rsidRPr="00913F89">
              <w:rPr>
                <w:rFonts w:cs="Arial"/>
              </w:rPr>
              <w:t xml:space="preserve">the </w:t>
            </w:r>
            <w:r w:rsidR="00E01E51" w:rsidRPr="009D1A69">
              <w:rPr>
                <w:rFonts w:cs="Arial"/>
              </w:rPr>
              <w:t>administration or</w:t>
            </w:r>
            <w:r w:rsidR="00E01E51" w:rsidRPr="00E07520">
              <w:rPr>
                <w:rFonts w:cs="Arial"/>
              </w:rPr>
              <w:t xml:space="preserve"> incentive </w:t>
            </w:r>
            <w:r w:rsidR="00E01E51" w:rsidRPr="00913F89">
              <w:rPr>
                <w:rFonts w:cs="Arial"/>
              </w:rPr>
              <w:t>practices</w:t>
            </w:r>
            <w:r w:rsidR="00E01E51" w:rsidRPr="00B349AC">
              <w:rPr>
                <w:rFonts w:cs="Arial"/>
              </w:rPr>
              <w:t xml:space="preserve"> or provision of </w:t>
            </w:r>
            <w:r w:rsidR="003D7418">
              <w:rPr>
                <w:rFonts w:cs="Arial"/>
              </w:rPr>
              <w:t>S</w:t>
            </w:r>
            <w:r w:rsidR="00E01E51" w:rsidRPr="00B349AC">
              <w:rPr>
                <w:rFonts w:cs="Arial"/>
              </w:rPr>
              <w:t xml:space="preserve">ervices by the </w:t>
            </w:r>
            <w:r w:rsidR="00D70269">
              <w:rPr>
                <w:rFonts w:cs="Arial"/>
              </w:rPr>
              <w:t>Contractor</w:t>
            </w:r>
            <w:r w:rsidR="00E01E51" w:rsidRPr="00B349AC">
              <w:rPr>
                <w:rFonts w:cs="Arial"/>
              </w:rPr>
              <w:t xml:space="preserve">. </w:t>
            </w:r>
          </w:p>
          <w:p w14:paraId="3D7BE623" w14:textId="418538A4" w:rsidR="003B72B4" w:rsidRDefault="00E01E51" w:rsidP="003B72B4">
            <w:pPr>
              <w:pStyle w:val="LRWLBodyText"/>
              <w:rPr>
                <w:rFonts w:cs="Arial"/>
              </w:rPr>
            </w:pPr>
            <w:r w:rsidRPr="00B349AC">
              <w:rPr>
                <w:rFonts w:cs="Arial"/>
              </w:rPr>
              <w:t xml:space="preserve">The </w:t>
            </w:r>
            <w:r w:rsidR="00A146AC">
              <w:rPr>
                <w:rFonts w:cs="Arial"/>
              </w:rPr>
              <w:t>Contractor</w:t>
            </w:r>
            <w:r w:rsidRPr="00B349AC">
              <w:rPr>
                <w:rFonts w:cs="Arial"/>
              </w:rPr>
              <w:t xml:space="preserve"> will be expected to cooperate fully with the efforts of </w:t>
            </w:r>
            <w:r w:rsidR="002062E3">
              <w:rPr>
                <w:rFonts w:cs="Arial"/>
              </w:rPr>
              <w:t xml:space="preserve">ETF </w:t>
            </w:r>
            <w:r w:rsidRPr="00B349AC">
              <w:rPr>
                <w:rFonts w:cs="Arial"/>
              </w:rPr>
              <w:t>in resolving complaints. Adverse decisions are subject to review by the B</w:t>
            </w:r>
            <w:r>
              <w:rPr>
                <w:rFonts w:cs="Arial"/>
              </w:rPr>
              <w:t>oard</w:t>
            </w:r>
            <w:r w:rsidRPr="00B349AC">
              <w:rPr>
                <w:rFonts w:cs="Arial"/>
              </w:rPr>
              <w:t xml:space="preserve"> for contractual compliance if the</w:t>
            </w:r>
            <w:r w:rsidR="003B72B4">
              <w:rPr>
                <w:rFonts w:cs="Arial"/>
              </w:rPr>
              <w:t xml:space="preserve"> </w:t>
            </w:r>
            <w:r w:rsidR="003B72B4" w:rsidRPr="00D70269">
              <w:rPr>
                <w:rFonts w:cs="Arial"/>
              </w:rPr>
              <w:t>enrollee</w:t>
            </w:r>
            <w:r w:rsidRPr="00B349AC">
              <w:rPr>
                <w:rFonts w:cs="Arial"/>
              </w:rPr>
              <w:t xml:space="preserve"> is not satisfied with the </w:t>
            </w:r>
            <w:r w:rsidR="00A146AC">
              <w:rPr>
                <w:rFonts w:cs="Arial"/>
              </w:rPr>
              <w:t>Contractor</w:t>
            </w:r>
            <w:r w:rsidRPr="00B349AC">
              <w:rPr>
                <w:rFonts w:cs="Arial"/>
              </w:rPr>
              <w:t>'s action on the matter.</w:t>
            </w:r>
          </w:p>
          <w:p w14:paraId="6CCA27B3" w14:textId="12AB016E" w:rsidR="00E01E51" w:rsidRPr="00B349AC" w:rsidRDefault="003D7418" w:rsidP="00E46012">
            <w:pPr>
              <w:pStyle w:val="LRWLBodyText"/>
              <w:rPr>
                <w:rFonts w:cs="Arial"/>
              </w:rPr>
            </w:pPr>
            <w:r w:rsidRPr="00247A48">
              <w:rPr>
                <w:rFonts w:cs="Arial"/>
              </w:rPr>
              <w:t>T</w:t>
            </w:r>
            <w:r w:rsidRPr="00E01E51">
              <w:rPr>
                <w:rFonts w:cs="Arial"/>
              </w:rPr>
              <w:t xml:space="preserve">he </w:t>
            </w:r>
            <w:r w:rsidR="00A146AC">
              <w:rPr>
                <w:rFonts w:cs="Arial"/>
              </w:rPr>
              <w:t>Contractor</w:t>
            </w:r>
            <w:r w:rsidRPr="00E01E51">
              <w:rPr>
                <w:rFonts w:cs="Arial"/>
              </w:rPr>
              <w:t xml:space="preserve"> must retain records of grievances </w:t>
            </w:r>
            <w:r>
              <w:rPr>
                <w:rFonts w:cs="Arial"/>
              </w:rPr>
              <w:t xml:space="preserve">and complaints </w:t>
            </w:r>
            <w:r w:rsidRPr="00E01E51">
              <w:rPr>
                <w:rFonts w:cs="Arial"/>
              </w:rPr>
              <w:t xml:space="preserve">and </w:t>
            </w:r>
            <w:r>
              <w:rPr>
                <w:rFonts w:cs="Arial"/>
              </w:rPr>
              <w:t>provide</w:t>
            </w:r>
            <w:r w:rsidRPr="00E01E51">
              <w:rPr>
                <w:rFonts w:cs="Arial"/>
              </w:rPr>
              <w:t xml:space="preserve"> a</w:t>
            </w:r>
            <w:r>
              <w:rPr>
                <w:rFonts w:cs="Arial"/>
              </w:rPr>
              <w:t xml:space="preserve"> quarterly</w:t>
            </w:r>
            <w:r w:rsidRPr="00E01E51">
              <w:rPr>
                <w:rFonts w:cs="Arial"/>
              </w:rPr>
              <w:t xml:space="preserve"> summary </w:t>
            </w:r>
            <w:r>
              <w:rPr>
                <w:rFonts w:cs="Arial"/>
              </w:rPr>
              <w:t xml:space="preserve">of </w:t>
            </w:r>
            <w:r w:rsidR="00E46012">
              <w:rPr>
                <w:rFonts w:cs="Arial"/>
              </w:rPr>
              <w:t xml:space="preserve">Member </w:t>
            </w:r>
            <w:r>
              <w:rPr>
                <w:rFonts w:cs="Arial"/>
              </w:rPr>
              <w:t>grievances and complaints to</w:t>
            </w:r>
            <w:r w:rsidRPr="00E01E51">
              <w:rPr>
                <w:rFonts w:cs="Arial"/>
              </w:rPr>
              <w:t xml:space="preserve"> </w:t>
            </w:r>
            <w:r>
              <w:rPr>
                <w:rFonts w:cs="Arial"/>
              </w:rPr>
              <w:t>ETF</w:t>
            </w:r>
            <w:r w:rsidRPr="00E01E51">
              <w:rPr>
                <w:rFonts w:cs="Arial"/>
              </w:rPr>
              <w:t xml:space="preserve"> </w:t>
            </w:r>
            <w:r>
              <w:rPr>
                <w:rFonts w:cs="Arial"/>
              </w:rPr>
              <w:t xml:space="preserve">including </w:t>
            </w:r>
            <w:r w:rsidRPr="00E01E51">
              <w:rPr>
                <w:rFonts w:cs="Arial"/>
              </w:rPr>
              <w:t>the number</w:t>
            </w:r>
            <w:r>
              <w:rPr>
                <w:rFonts w:cs="Arial"/>
              </w:rPr>
              <w:t xml:space="preserve"> and </w:t>
            </w:r>
            <w:r w:rsidRPr="00E01E51">
              <w:rPr>
                <w:rFonts w:cs="Arial"/>
              </w:rPr>
              <w:t xml:space="preserve">types of grievances </w:t>
            </w:r>
            <w:r>
              <w:rPr>
                <w:rFonts w:cs="Arial"/>
              </w:rPr>
              <w:t xml:space="preserve">and complaints </w:t>
            </w:r>
            <w:r w:rsidRPr="00E01E51">
              <w:rPr>
                <w:rFonts w:cs="Arial"/>
              </w:rPr>
              <w:t>received and the resolution or outcome. The summary report will be in a format established by ETF.</w:t>
            </w:r>
          </w:p>
        </w:tc>
      </w:tr>
      <w:tr w:rsidR="00F57731" w14:paraId="7B456C6C" w14:textId="77777777" w:rsidTr="0059128F">
        <w:tc>
          <w:tcPr>
            <w:tcW w:w="535" w:type="dxa"/>
          </w:tcPr>
          <w:p w14:paraId="3C79C444" w14:textId="77777777" w:rsidR="00F57731" w:rsidRDefault="00F57731" w:rsidP="00F01E1A">
            <w:pPr>
              <w:pStyle w:val="ListParagraph"/>
              <w:numPr>
                <w:ilvl w:val="0"/>
                <w:numId w:val="29"/>
              </w:numPr>
            </w:pPr>
          </w:p>
        </w:tc>
        <w:tc>
          <w:tcPr>
            <w:tcW w:w="8815" w:type="dxa"/>
          </w:tcPr>
          <w:p w14:paraId="266B3E65" w14:textId="45629F00" w:rsidR="00F57731" w:rsidRPr="00965163" w:rsidRDefault="00965163" w:rsidP="00E46012">
            <w:pPr>
              <w:pStyle w:val="LRWLBodyText"/>
              <w:rPr>
                <w:rFonts w:cs="Arial"/>
              </w:rPr>
            </w:pPr>
            <w:r>
              <w:rPr>
                <w:rFonts w:cs="Arial"/>
              </w:rPr>
              <w:t xml:space="preserve">The </w:t>
            </w:r>
            <w:r w:rsidR="00A146AC">
              <w:rPr>
                <w:rFonts w:cs="Arial"/>
              </w:rPr>
              <w:t>Contractor</w:t>
            </w:r>
            <w:r>
              <w:rPr>
                <w:rFonts w:cs="Arial"/>
              </w:rPr>
              <w:t xml:space="preserve"> must</w:t>
            </w:r>
            <w:r w:rsidR="00E03A80" w:rsidRPr="00965163">
              <w:rPr>
                <w:rFonts w:cs="Arial"/>
              </w:rPr>
              <w:t xml:space="preserve"> review and issue</w:t>
            </w:r>
            <w:r w:rsidR="002062E3">
              <w:rPr>
                <w:rFonts w:cs="Arial"/>
              </w:rPr>
              <w:t xml:space="preserve"> </w:t>
            </w:r>
            <w:r w:rsidR="00E03A80" w:rsidRPr="00965163">
              <w:rPr>
                <w:rFonts w:cs="Arial"/>
              </w:rPr>
              <w:t>a written decision</w:t>
            </w:r>
            <w:r>
              <w:rPr>
                <w:rFonts w:cs="Arial"/>
              </w:rPr>
              <w:t xml:space="preserve"> to</w:t>
            </w:r>
            <w:r w:rsidR="003D7418">
              <w:rPr>
                <w:rFonts w:cs="Arial"/>
              </w:rPr>
              <w:t xml:space="preserve"> the </w:t>
            </w:r>
            <w:r w:rsidR="00E46012">
              <w:rPr>
                <w:rFonts w:cs="Arial"/>
              </w:rPr>
              <w:t xml:space="preserve">Member </w:t>
            </w:r>
            <w:r w:rsidR="003D7418">
              <w:rPr>
                <w:rFonts w:cs="Arial"/>
              </w:rPr>
              <w:t>who lodged the</w:t>
            </w:r>
            <w:r>
              <w:rPr>
                <w:rFonts w:cs="Arial"/>
              </w:rPr>
              <w:t xml:space="preserve"> </w:t>
            </w:r>
            <w:r w:rsidRPr="00B349AC">
              <w:rPr>
                <w:rFonts w:cs="Arial"/>
              </w:rPr>
              <w:t>complaint</w:t>
            </w:r>
            <w:r w:rsidR="003D7418">
              <w:rPr>
                <w:rFonts w:cs="Arial"/>
              </w:rPr>
              <w:t xml:space="preserve"> or</w:t>
            </w:r>
            <w:r w:rsidRPr="00B349AC">
              <w:rPr>
                <w:rFonts w:cs="Arial"/>
              </w:rPr>
              <w:t xml:space="preserve"> grievance</w:t>
            </w:r>
            <w:r>
              <w:rPr>
                <w:rFonts w:cs="Arial"/>
              </w:rPr>
              <w:t xml:space="preserve"> </w:t>
            </w:r>
            <w:r w:rsidR="00E03A80" w:rsidRPr="00965163">
              <w:rPr>
                <w:rFonts w:cs="Arial"/>
              </w:rPr>
              <w:t xml:space="preserve">within </w:t>
            </w:r>
            <w:r w:rsidR="00C94564">
              <w:rPr>
                <w:rFonts w:cs="Arial"/>
              </w:rPr>
              <w:t>thirty</w:t>
            </w:r>
            <w:r w:rsidR="00C94564" w:rsidRPr="00965163">
              <w:rPr>
                <w:rFonts w:cs="Arial"/>
              </w:rPr>
              <w:t xml:space="preserve"> </w:t>
            </w:r>
            <w:r w:rsidR="00E03A80" w:rsidRPr="00965163">
              <w:rPr>
                <w:rFonts w:cs="Arial"/>
              </w:rPr>
              <w:t>(</w:t>
            </w:r>
            <w:r w:rsidR="00C94564">
              <w:rPr>
                <w:rFonts w:cs="Arial"/>
              </w:rPr>
              <w:t>30</w:t>
            </w:r>
            <w:r w:rsidR="00E03A80" w:rsidRPr="00965163">
              <w:rPr>
                <w:rFonts w:cs="Arial"/>
              </w:rPr>
              <w:t xml:space="preserve">) </w:t>
            </w:r>
            <w:r w:rsidR="00C94564">
              <w:rPr>
                <w:rFonts w:cs="Arial"/>
              </w:rPr>
              <w:t>Day</w:t>
            </w:r>
            <w:r w:rsidR="00700879">
              <w:rPr>
                <w:rFonts w:cs="Arial"/>
              </w:rPr>
              <w:t>s</w:t>
            </w:r>
            <w:r w:rsidR="00E03A80" w:rsidRPr="00965163">
              <w:rPr>
                <w:rFonts w:cs="Arial"/>
              </w:rPr>
              <w:t xml:space="preserve"> of </w:t>
            </w:r>
            <w:r w:rsidR="00A146AC">
              <w:rPr>
                <w:rFonts w:cs="Arial"/>
              </w:rPr>
              <w:t>Contractor</w:t>
            </w:r>
            <w:r w:rsidR="00A652A0">
              <w:rPr>
                <w:rFonts w:cs="Arial"/>
              </w:rPr>
              <w:t xml:space="preserve">’s </w:t>
            </w:r>
            <w:r w:rsidR="00E03A80" w:rsidRPr="00965163">
              <w:rPr>
                <w:rFonts w:cs="Arial"/>
              </w:rPr>
              <w:t>receipt</w:t>
            </w:r>
            <w:r w:rsidR="003D7418">
              <w:rPr>
                <w:rFonts w:cs="Arial"/>
              </w:rPr>
              <w:t xml:space="preserve"> of such complaint or grievance</w:t>
            </w:r>
            <w:r w:rsidR="003D7418" w:rsidRPr="00965163">
              <w:rPr>
                <w:rFonts w:cs="Arial"/>
              </w:rPr>
              <w:t>.</w:t>
            </w:r>
          </w:p>
        </w:tc>
      </w:tr>
    </w:tbl>
    <w:p w14:paraId="566BA9A6" w14:textId="77777777" w:rsidR="00F57731" w:rsidRDefault="00F57731" w:rsidP="00644C74">
      <w:pPr>
        <w:pStyle w:val="Heading2"/>
        <w:ind w:hanging="1926"/>
      </w:pPr>
      <w:r>
        <w:lastRenderedPageBreak/>
        <w:t>Marketing and Communication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F57731" w14:paraId="6992DB35" w14:textId="77777777" w:rsidTr="0059128F">
        <w:tc>
          <w:tcPr>
            <w:tcW w:w="535" w:type="dxa"/>
          </w:tcPr>
          <w:p w14:paraId="7B58267C" w14:textId="77777777" w:rsidR="00F57731" w:rsidRDefault="00F57731" w:rsidP="00F01E1A">
            <w:pPr>
              <w:pStyle w:val="ListParagraph"/>
              <w:numPr>
                <w:ilvl w:val="0"/>
                <w:numId w:val="22"/>
              </w:numPr>
            </w:pPr>
          </w:p>
        </w:tc>
        <w:tc>
          <w:tcPr>
            <w:tcW w:w="8815" w:type="dxa"/>
          </w:tcPr>
          <w:p w14:paraId="7FC95370" w14:textId="47E40BC7" w:rsidR="00F57731" w:rsidRPr="006518F1" w:rsidRDefault="00AD0703" w:rsidP="00A652A0">
            <w:pPr>
              <w:rPr>
                <w:rFonts w:ascii="Arial" w:hAnsi="Arial" w:cs="Arial"/>
              </w:rPr>
            </w:pPr>
            <w:r>
              <w:rPr>
                <w:rFonts w:ascii="Arial" w:hAnsi="Arial" w:cs="Arial"/>
                <w:color w:val="000000"/>
              </w:rPr>
              <w:t xml:space="preserve">The </w:t>
            </w:r>
            <w:r w:rsidR="00A146AC">
              <w:rPr>
                <w:rFonts w:ascii="Arial" w:hAnsi="Arial" w:cs="Arial"/>
                <w:color w:val="000000"/>
              </w:rPr>
              <w:t>Contractor</w:t>
            </w:r>
            <w:r w:rsidR="007D2C86" w:rsidRPr="006518F1">
              <w:rPr>
                <w:rFonts w:ascii="Arial" w:hAnsi="Arial" w:cs="Arial"/>
                <w:color w:val="000000"/>
              </w:rPr>
              <w:t xml:space="preserve"> must obtain </w:t>
            </w:r>
            <w:r w:rsidR="00D75231">
              <w:rPr>
                <w:rFonts w:ascii="Arial" w:hAnsi="Arial" w:cs="Arial"/>
                <w:color w:val="000000"/>
              </w:rPr>
              <w:t xml:space="preserve">approval from the </w:t>
            </w:r>
            <w:r w:rsidR="007D2C86" w:rsidRPr="006518F1">
              <w:rPr>
                <w:rFonts w:ascii="Arial" w:hAnsi="Arial" w:cs="Arial"/>
                <w:color w:val="000000"/>
              </w:rPr>
              <w:t xml:space="preserve">ETF </w:t>
            </w:r>
            <w:r w:rsidR="00D75231">
              <w:rPr>
                <w:rFonts w:ascii="Arial" w:hAnsi="Arial" w:cs="Arial"/>
                <w:color w:val="000000"/>
              </w:rPr>
              <w:t xml:space="preserve">Program Manager </w:t>
            </w:r>
            <w:r w:rsidR="007D2C86" w:rsidRPr="006518F1">
              <w:rPr>
                <w:rFonts w:ascii="Arial" w:hAnsi="Arial" w:cs="Arial"/>
                <w:color w:val="000000"/>
              </w:rPr>
              <w:t xml:space="preserve">on an Annual Promotion and Communication Plan for the </w:t>
            </w:r>
            <w:r w:rsidR="002062E3">
              <w:rPr>
                <w:rFonts w:ascii="Arial" w:hAnsi="Arial" w:cs="Arial"/>
                <w:color w:val="000000"/>
              </w:rPr>
              <w:t xml:space="preserve">wellness and disease management </w:t>
            </w:r>
            <w:r w:rsidR="007D2C86" w:rsidRPr="006518F1">
              <w:rPr>
                <w:rFonts w:ascii="Arial" w:hAnsi="Arial" w:cs="Arial"/>
                <w:color w:val="000000"/>
              </w:rPr>
              <w:t>program</w:t>
            </w:r>
            <w:r w:rsidR="002062E3">
              <w:rPr>
                <w:rFonts w:ascii="Arial" w:hAnsi="Arial" w:cs="Arial"/>
                <w:color w:val="000000"/>
              </w:rPr>
              <w:t>s</w:t>
            </w:r>
            <w:r w:rsidR="007D2C86" w:rsidRPr="006518F1">
              <w:rPr>
                <w:rFonts w:ascii="Arial" w:hAnsi="Arial" w:cs="Arial"/>
                <w:color w:val="000000"/>
              </w:rPr>
              <w:t xml:space="preserve"> </w:t>
            </w:r>
            <w:r w:rsidR="00FA62F0">
              <w:rPr>
                <w:rFonts w:ascii="Arial" w:hAnsi="Arial" w:cs="Arial"/>
                <w:color w:val="000000"/>
              </w:rPr>
              <w:t xml:space="preserve">within </w:t>
            </w:r>
            <w:r w:rsidR="00C360B7">
              <w:rPr>
                <w:rFonts w:ascii="Arial" w:hAnsi="Arial" w:cs="Arial"/>
                <w:color w:val="000000"/>
              </w:rPr>
              <w:t xml:space="preserve">ten </w:t>
            </w:r>
            <w:r w:rsidR="00FA62F0">
              <w:rPr>
                <w:rFonts w:ascii="Arial" w:hAnsi="Arial" w:cs="Arial"/>
                <w:color w:val="000000"/>
              </w:rPr>
              <w:t>(</w:t>
            </w:r>
            <w:r w:rsidR="00D75231">
              <w:rPr>
                <w:rFonts w:ascii="Arial" w:hAnsi="Arial" w:cs="Arial"/>
                <w:color w:val="000000"/>
              </w:rPr>
              <w:t>10</w:t>
            </w:r>
            <w:r w:rsidR="00FA62F0">
              <w:rPr>
                <w:rFonts w:ascii="Arial" w:hAnsi="Arial" w:cs="Arial"/>
                <w:color w:val="000000"/>
              </w:rPr>
              <w:t xml:space="preserve">) Days of the Contract start date and </w:t>
            </w:r>
            <w:r w:rsidR="007D2C86" w:rsidRPr="006518F1">
              <w:rPr>
                <w:rFonts w:ascii="Arial" w:hAnsi="Arial" w:cs="Arial"/>
                <w:color w:val="000000"/>
              </w:rPr>
              <w:t>no later than August 1</w:t>
            </w:r>
            <w:r w:rsidR="00D75231">
              <w:rPr>
                <w:rFonts w:ascii="Arial" w:hAnsi="Arial" w:cs="Arial"/>
                <w:color w:val="000000"/>
              </w:rPr>
              <w:t>st</w:t>
            </w:r>
            <w:r w:rsidR="007D2C86" w:rsidRPr="006518F1">
              <w:rPr>
                <w:rFonts w:ascii="Arial" w:hAnsi="Arial" w:cs="Arial"/>
                <w:color w:val="000000"/>
              </w:rPr>
              <w:t xml:space="preserve"> </w:t>
            </w:r>
            <w:r w:rsidR="00FA62F0">
              <w:rPr>
                <w:rFonts w:ascii="Arial" w:hAnsi="Arial" w:cs="Arial"/>
                <w:color w:val="000000"/>
              </w:rPr>
              <w:t xml:space="preserve">for subsequent </w:t>
            </w:r>
            <w:r w:rsidR="00A652A0">
              <w:rPr>
                <w:rFonts w:ascii="Arial" w:hAnsi="Arial" w:cs="Arial"/>
                <w:color w:val="000000"/>
              </w:rPr>
              <w:t xml:space="preserve">Contract </w:t>
            </w:r>
            <w:r w:rsidR="007D2C86" w:rsidRPr="006518F1">
              <w:rPr>
                <w:rFonts w:ascii="Arial" w:hAnsi="Arial" w:cs="Arial"/>
                <w:color w:val="000000"/>
              </w:rPr>
              <w:t>year</w:t>
            </w:r>
            <w:r w:rsidR="00FA62F0">
              <w:rPr>
                <w:rFonts w:ascii="Arial" w:hAnsi="Arial" w:cs="Arial"/>
                <w:color w:val="000000"/>
              </w:rPr>
              <w:t>s</w:t>
            </w:r>
            <w:r w:rsidR="007D2C86" w:rsidRPr="006518F1">
              <w:rPr>
                <w:rFonts w:ascii="Arial" w:hAnsi="Arial" w:cs="Arial"/>
                <w:color w:val="000000"/>
              </w:rPr>
              <w:t>. The plan</w:t>
            </w:r>
            <w:r>
              <w:rPr>
                <w:rFonts w:ascii="Arial" w:hAnsi="Arial" w:cs="Arial"/>
                <w:color w:val="000000"/>
              </w:rPr>
              <w:t xml:space="preserve"> must include detail on proposed </w:t>
            </w:r>
            <w:r w:rsidR="007D2C86" w:rsidRPr="006518F1">
              <w:rPr>
                <w:rFonts w:ascii="Arial" w:hAnsi="Arial" w:cs="Arial"/>
                <w:color w:val="000000"/>
              </w:rPr>
              <w:t xml:space="preserve">outreach for the </w:t>
            </w:r>
            <w:r w:rsidR="002062E3">
              <w:rPr>
                <w:rFonts w:ascii="Arial" w:hAnsi="Arial" w:cs="Arial"/>
                <w:color w:val="000000"/>
              </w:rPr>
              <w:t xml:space="preserve">wellness and disease management </w:t>
            </w:r>
            <w:r w:rsidR="002062E3" w:rsidRPr="006518F1">
              <w:rPr>
                <w:rFonts w:ascii="Arial" w:hAnsi="Arial" w:cs="Arial"/>
                <w:color w:val="000000"/>
              </w:rPr>
              <w:t>program</w:t>
            </w:r>
            <w:r w:rsidR="002062E3">
              <w:rPr>
                <w:rFonts w:ascii="Arial" w:hAnsi="Arial" w:cs="Arial"/>
                <w:color w:val="000000"/>
              </w:rPr>
              <w:t>s</w:t>
            </w:r>
            <w:r w:rsidR="002062E3" w:rsidRPr="006518F1">
              <w:rPr>
                <w:rFonts w:ascii="Arial" w:hAnsi="Arial" w:cs="Arial"/>
                <w:color w:val="000000"/>
              </w:rPr>
              <w:t xml:space="preserve"> </w:t>
            </w:r>
            <w:r w:rsidR="007D2C86" w:rsidRPr="006518F1">
              <w:rPr>
                <w:rFonts w:ascii="Arial" w:hAnsi="Arial" w:cs="Arial"/>
                <w:color w:val="000000"/>
              </w:rPr>
              <w:t>overall and the outreach plan for health coaching.</w:t>
            </w:r>
          </w:p>
        </w:tc>
      </w:tr>
      <w:tr w:rsidR="00AD0703" w14:paraId="35AEC6E5" w14:textId="77777777" w:rsidTr="0059128F">
        <w:tc>
          <w:tcPr>
            <w:tcW w:w="535" w:type="dxa"/>
          </w:tcPr>
          <w:p w14:paraId="7BA4AB48" w14:textId="77777777" w:rsidR="00AD0703" w:rsidRDefault="00AD0703" w:rsidP="00F01E1A">
            <w:pPr>
              <w:pStyle w:val="ListParagraph"/>
              <w:numPr>
                <w:ilvl w:val="0"/>
                <w:numId w:val="22"/>
              </w:numPr>
            </w:pPr>
          </w:p>
        </w:tc>
        <w:tc>
          <w:tcPr>
            <w:tcW w:w="8815" w:type="dxa"/>
          </w:tcPr>
          <w:p w14:paraId="774BE576" w14:textId="12A4BBEB" w:rsidR="00AD0703" w:rsidRDefault="00AD0703" w:rsidP="00A652A0">
            <w:pPr>
              <w:rPr>
                <w:rFonts w:cs="Arial"/>
                <w:color w:val="000000"/>
              </w:rPr>
            </w:pPr>
            <w:r w:rsidRPr="006518F1">
              <w:rPr>
                <w:rFonts w:ascii="Arial" w:hAnsi="Arial" w:cs="Arial"/>
                <w:color w:val="000000"/>
              </w:rPr>
              <w:t xml:space="preserve">All </w:t>
            </w:r>
            <w:r w:rsidR="00A146AC">
              <w:rPr>
                <w:rFonts w:ascii="Arial" w:hAnsi="Arial" w:cs="Arial"/>
                <w:color w:val="000000"/>
              </w:rPr>
              <w:t>Contractor</w:t>
            </w:r>
            <w:r w:rsidRPr="006518F1">
              <w:rPr>
                <w:rFonts w:ascii="Arial" w:hAnsi="Arial" w:cs="Arial"/>
                <w:color w:val="000000"/>
              </w:rPr>
              <w:t xml:space="preserve"> program </w:t>
            </w:r>
            <w:r w:rsidR="00F13FED">
              <w:rPr>
                <w:rFonts w:ascii="Arial" w:hAnsi="Arial" w:cs="Arial"/>
                <w:color w:val="000000"/>
              </w:rPr>
              <w:t xml:space="preserve">content, </w:t>
            </w:r>
            <w:r w:rsidRPr="006518F1">
              <w:rPr>
                <w:rFonts w:ascii="Arial" w:hAnsi="Arial" w:cs="Arial"/>
                <w:color w:val="000000"/>
              </w:rPr>
              <w:t xml:space="preserve">materials, presentations, and communications, as defined by ETF, must </w:t>
            </w:r>
            <w:r w:rsidR="00A652A0">
              <w:rPr>
                <w:rFonts w:ascii="Arial" w:hAnsi="Arial" w:cs="Arial"/>
                <w:color w:val="000000"/>
              </w:rPr>
              <w:t>be</w:t>
            </w:r>
            <w:r w:rsidRPr="006518F1">
              <w:rPr>
                <w:rFonts w:ascii="Arial" w:hAnsi="Arial" w:cs="Arial"/>
                <w:color w:val="000000"/>
              </w:rPr>
              <w:t xml:space="preserve"> </w:t>
            </w:r>
            <w:r w:rsidR="00A652A0">
              <w:rPr>
                <w:rFonts w:ascii="Arial" w:hAnsi="Arial" w:cs="Arial"/>
                <w:color w:val="000000"/>
              </w:rPr>
              <w:t>pre-</w:t>
            </w:r>
            <w:r w:rsidRPr="006518F1">
              <w:rPr>
                <w:rFonts w:ascii="Arial" w:hAnsi="Arial" w:cs="Arial"/>
                <w:color w:val="000000"/>
              </w:rPr>
              <w:t>approv</w:t>
            </w:r>
            <w:r w:rsidR="00A652A0">
              <w:rPr>
                <w:rFonts w:ascii="Arial" w:hAnsi="Arial" w:cs="Arial"/>
                <w:color w:val="000000"/>
              </w:rPr>
              <w:t>ed</w:t>
            </w:r>
            <w:r w:rsidRPr="006518F1">
              <w:rPr>
                <w:rFonts w:ascii="Arial" w:hAnsi="Arial" w:cs="Arial"/>
                <w:color w:val="000000"/>
              </w:rPr>
              <w:t xml:space="preserve"> by</w:t>
            </w:r>
            <w:r w:rsidR="00D75231">
              <w:rPr>
                <w:rFonts w:ascii="Arial" w:hAnsi="Arial" w:cs="Arial"/>
                <w:color w:val="000000"/>
              </w:rPr>
              <w:t xml:space="preserve"> the</w:t>
            </w:r>
            <w:r w:rsidRPr="006518F1">
              <w:rPr>
                <w:rFonts w:ascii="Arial" w:hAnsi="Arial" w:cs="Arial"/>
                <w:color w:val="000000"/>
              </w:rPr>
              <w:t xml:space="preserve"> ETF </w:t>
            </w:r>
            <w:r w:rsidR="00D75231">
              <w:rPr>
                <w:rFonts w:ascii="Arial" w:hAnsi="Arial" w:cs="Arial"/>
                <w:color w:val="000000"/>
              </w:rPr>
              <w:t xml:space="preserve">Program Manager </w:t>
            </w:r>
            <w:r w:rsidRPr="006518F1">
              <w:rPr>
                <w:rFonts w:ascii="Arial" w:hAnsi="Arial" w:cs="Arial"/>
                <w:color w:val="000000"/>
              </w:rPr>
              <w:t>prior to distribution.</w:t>
            </w:r>
          </w:p>
        </w:tc>
      </w:tr>
      <w:tr w:rsidR="00F57731" w14:paraId="7A61FCFA" w14:textId="77777777" w:rsidTr="0059128F">
        <w:tc>
          <w:tcPr>
            <w:tcW w:w="535" w:type="dxa"/>
          </w:tcPr>
          <w:p w14:paraId="41F07345" w14:textId="77777777" w:rsidR="00F57731" w:rsidRDefault="00F57731" w:rsidP="00F01E1A">
            <w:pPr>
              <w:pStyle w:val="ListParagraph"/>
              <w:numPr>
                <w:ilvl w:val="0"/>
                <w:numId w:val="22"/>
              </w:numPr>
            </w:pPr>
          </w:p>
        </w:tc>
        <w:tc>
          <w:tcPr>
            <w:tcW w:w="8815" w:type="dxa"/>
          </w:tcPr>
          <w:p w14:paraId="76BA9498" w14:textId="0B9B261D" w:rsidR="00852877" w:rsidRDefault="00852877" w:rsidP="00852877">
            <w:pPr>
              <w:pStyle w:val="LRWLBodyText"/>
              <w:rPr>
                <w:rFonts w:cs="Arial"/>
                <w:color w:val="000000"/>
              </w:rPr>
            </w:pPr>
            <w:r w:rsidRPr="00852877">
              <w:rPr>
                <w:rFonts w:cs="Arial"/>
                <w:color w:val="000000"/>
              </w:rPr>
              <w:t xml:space="preserve">The </w:t>
            </w:r>
            <w:r w:rsidR="00A146AC">
              <w:rPr>
                <w:rFonts w:cs="Arial"/>
                <w:color w:val="000000"/>
              </w:rPr>
              <w:t>Contractor</w:t>
            </w:r>
            <w:r w:rsidRPr="00852877">
              <w:rPr>
                <w:rFonts w:cs="Arial"/>
                <w:color w:val="000000"/>
              </w:rPr>
              <w:t xml:space="preserve"> must ensure that its marketing and communication materials are culturally sensitive and professional in content, appearance, and design. At the request of ETF, the </w:t>
            </w:r>
            <w:r w:rsidR="00A146AC">
              <w:rPr>
                <w:rFonts w:cs="Arial"/>
                <w:color w:val="000000"/>
              </w:rPr>
              <w:t>Contractor</w:t>
            </w:r>
            <w:r w:rsidRPr="00852877">
              <w:rPr>
                <w:rFonts w:cs="Arial"/>
                <w:color w:val="000000"/>
              </w:rPr>
              <w:t xml:space="preserve"> must replace images or artwork on the program website, </w:t>
            </w:r>
            <w:r w:rsidR="00A652A0">
              <w:rPr>
                <w:rFonts w:cs="Arial"/>
                <w:color w:val="000000"/>
              </w:rPr>
              <w:t>web-</w:t>
            </w:r>
            <w:r w:rsidRPr="00852877">
              <w:rPr>
                <w:rFonts w:cs="Arial"/>
                <w:color w:val="000000"/>
              </w:rPr>
              <w:t>portal, or promotional materials</w:t>
            </w:r>
            <w:r w:rsidR="002062E3">
              <w:rPr>
                <w:rFonts w:cs="Arial"/>
                <w:color w:val="000000"/>
              </w:rPr>
              <w:t xml:space="preserve"> within three (3) Business Days of the </w:t>
            </w:r>
            <w:r w:rsidR="00A146AC">
              <w:rPr>
                <w:rFonts w:cs="Arial"/>
                <w:color w:val="000000"/>
              </w:rPr>
              <w:t>Contractor</w:t>
            </w:r>
            <w:r w:rsidR="002062E3">
              <w:rPr>
                <w:rFonts w:cs="Arial"/>
                <w:color w:val="000000"/>
              </w:rPr>
              <w:t>’s receipt of ETF’s request.</w:t>
            </w:r>
          </w:p>
          <w:p w14:paraId="1FDFE0A7" w14:textId="5A11E686" w:rsidR="00852877" w:rsidRDefault="00852877" w:rsidP="00852877">
            <w:pPr>
              <w:pStyle w:val="LRWLBodyText"/>
              <w:rPr>
                <w:rFonts w:cs="Arial"/>
                <w:color w:val="000000"/>
              </w:rPr>
            </w:pPr>
            <w:r>
              <w:rPr>
                <w:rFonts w:cs="Arial"/>
                <w:color w:val="000000"/>
              </w:rPr>
              <w:t>In addition, t</w:t>
            </w:r>
            <w:r w:rsidR="00AD0703" w:rsidRPr="005147BB">
              <w:rPr>
                <w:rFonts w:cs="Arial"/>
                <w:color w:val="000000"/>
              </w:rPr>
              <w:t xml:space="preserve">he </w:t>
            </w:r>
            <w:r w:rsidR="00A146AC">
              <w:rPr>
                <w:rFonts w:cs="Arial"/>
                <w:color w:val="000000"/>
              </w:rPr>
              <w:t>Contractor</w:t>
            </w:r>
            <w:r w:rsidR="007D2C86" w:rsidRPr="005147BB">
              <w:rPr>
                <w:rFonts w:cs="Arial"/>
                <w:color w:val="000000"/>
              </w:rPr>
              <w:t xml:space="preserve"> must be able to customize all communications for the </w:t>
            </w:r>
            <w:r>
              <w:rPr>
                <w:rFonts w:cs="Arial"/>
                <w:color w:val="000000"/>
              </w:rPr>
              <w:t>specific</w:t>
            </w:r>
            <w:r w:rsidR="00981318">
              <w:rPr>
                <w:rFonts w:cs="Arial"/>
                <w:color w:val="000000"/>
              </w:rPr>
              <w:t xml:space="preserve">s of </w:t>
            </w:r>
            <w:r>
              <w:rPr>
                <w:rFonts w:cs="Arial"/>
                <w:color w:val="000000"/>
              </w:rPr>
              <w:t>the ETF program, including but not limited to:</w:t>
            </w:r>
          </w:p>
          <w:p w14:paraId="445B09EC" w14:textId="7DBDC2FF" w:rsidR="00852877" w:rsidRDefault="00852877" w:rsidP="00F01E1A">
            <w:pPr>
              <w:pStyle w:val="LRWLBodyText"/>
              <w:numPr>
                <w:ilvl w:val="0"/>
                <w:numId w:val="39"/>
              </w:numPr>
              <w:rPr>
                <w:rFonts w:cs="Arial"/>
                <w:color w:val="000000"/>
              </w:rPr>
            </w:pPr>
            <w:r>
              <w:rPr>
                <w:rFonts w:cs="Arial"/>
                <w:color w:val="000000"/>
              </w:rPr>
              <w:t>Inclusion of the Well Wisconsin logo, tagline and color scheme</w:t>
            </w:r>
            <w:r w:rsidR="00C360B7">
              <w:rPr>
                <w:rFonts w:cs="Arial"/>
                <w:color w:val="000000"/>
              </w:rPr>
              <w:t>;</w:t>
            </w:r>
          </w:p>
          <w:p w14:paraId="29ABDD9A" w14:textId="4C17B07C" w:rsidR="00852877" w:rsidRDefault="00852877" w:rsidP="00F01E1A">
            <w:pPr>
              <w:pStyle w:val="LRWLBodyText"/>
              <w:numPr>
                <w:ilvl w:val="0"/>
                <w:numId w:val="39"/>
              </w:numPr>
              <w:rPr>
                <w:rFonts w:cs="Arial"/>
                <w:color w:val="000000"/>
              </w:rPr>
            </w:pPr>
            <w:r w:rsidRPr="00852877">
              <w:rPr>
                <w:rFonts w:cs="Arial"/>
                <w:color w:val="000000"/>
              </w:rPr>
              <w:t xml:space="preserve">Content </w:t>
            </w:r>
            <w:r w:rsidR="002062E3">
              <w:rPr>
                <w:rFonts w:cs="Arial"/>
                <w:color w:val="000000"/>
              </w:rPr>
              <w:t>must be able to</w:t>
            </w:r>
            <w:r>
              <w:rPr>
                <w:rFonts w:cs="Arial"/>
                <w:color w:val="000000"/>
              </w:rPr>
              <w:t xml:space="preserve"> address differen</w:t>
            </w:r>
            <w:r w:rsidR="002062E3">
              <w:rPr>
                <w:rFonts w:cs="Arial"/>
                <w:color w:val="000000"/>
              </w:rPr>
              <w:t>t types of</w:t>
            </w:r>
            <w:r>
              <w:rPr>
                <w:rFonts w:cs="Arial"/>
                <w:color w:val="000000"/>
              </w:rPr>
              <w:t xml:space="preserve"> enrollment and eligibility</w:t>
            </w:r>
            <w:r w:rsidR="00C360B7">
              <w:rPr>
                <w:rFonts w:cs="Arial"/>
                <w:color w:val="000000"/>
              </w:rPr>
              <w:t>;</w:t>
            </w:r>
            <w:r w:rsidR="002062E3">
              <w:rPr>
                <w:rFonts w:cs="Arial"/>
                <w:color w:val="000000"/>
              </w:rPr>
              <w:t xml:space="preserve"> and</w:t>
            </w:r>
          </w:p>
          <w:p w14:paraId="52CCB95F" w14:textId="3FB6B5C7" w:rsidR="00852877" w:rsidRDefault="00852877" w:rsidP="00F01E1A">
            <w:pPr>
              <w:pStyle w:val="LRWLBodyText"/>
              <w:numPr>
                <w:ilvl w:val="0"/>
                <w:numId w:val="39"/>
              </w:numPr>
              <w:rPr>
                <w:rFonts w:cs="Arial"/>
                <w:color w:val="000000"/>
              </w:rPr>
            </w:pPr>
            <w:r>
              <w:rPr>
                <w:rFonts w:cs="Arial"/>
                <w:color w:val="000000"/>
              </w:rPr>
              <w:t xml:space="preserve">Appropriate representation of </w:t>
            </w:r>
            <w:r w:rsidR="00D75670" w:rsidRPr="00435511">
              <w:rPr>
                <w:rFonts w:cs="Arial"/>
              </w:rPr>
              <w:t xml:space="preserve">the </w:t>
            </w:r>
            <w:r w:rsidR="00D75670">
              <w:rPr>
                <w:rFonts w:cs="Arial"/>
              </w:rPr>
              <w:t xml:space="preserve">GHIP/WPE </w:t>
            </w:r>
            <w:r w:rsidR="000A4B1E">
              <w:rPr>
                <w:rFonts w:cs="Arial"/>
              </w:rPr>
              <w:t xml:space="preserve">programs </w:t>
            </w:r>
            <w:r w:rsidR="000A4B1E">
              <w:rPr>
                <w:rFonts w:cs="Arial"/>
                <w:color w:val="000000"/>
              </w:rPr>
              <w:t>and</w:t>
            </w:r>
            <w:r>
              <w:rPr>
                <w:rFonts w:cs="Arial"/>
                <w:color w:val="000000"/>
              </w:rPr>
              <w:t xml:space="preserve"> vendors</w:t>
            </w:r>
            <w:r w:rsidR="00C360B7">
              <w:rPr>
                <w:rFonts w:cs="Arial"/>
                <w:color w:val="000000"/>
              </w:rPr>
              <w:t>.</w:t>
            </w:r>
          </w:p>
          <w:p w14:paraId="4082F0F0" w14:textId="7BC58129" w:rsidR="00AD0703" w:rsidRPr="006518F1" w:rsidRDefault="00AD0703" w:rsidP="00852877">
            <w:pPr>
              <w:pStyle w:val="LRWLBodyText"/>
              <w:rPr>
                <w:rFonts w:cs="Arial"/>
              </w:rPr>
            </w:pPr>
            <w:r w:rsidRPr="005147BB">
              <w:rPr>
                <w:rFonts w:cs="Arial"/>
                <w:color w:val="000000"/>
              </w:rPr>
              <w:t xml:space="preserve">If the </w:t>
            </w:r>
            <w:r w:rsidR="00A146AC">
              <w:rPr>
                <w:rFonts w:cs="Arial"/>
                <w:color w:val="000000"/>
              </w:rPr>
              <w:t>Contractor</w:t>
            </w:r>
            <w:r w:rsidRPr="005147BB">
              <w:rPr>
                <w:rFonts w:cs="Arial"/>
                <w:color w:val="000000"/>
              </w:rPr>
              <w:t xml:space="preserve"> will not customize materials used for </w:t>
            </w:r>
            <w:r w:rsidR="00852877">
              <w:rPr>
                <w:rFonts w:cs="Arial"/>
                <w:color w:val="000000"/>
              </w:rPr>
              <w:t xml:space="preserve">its </w:t>
            </w:r>
            <w:r w:rsidRPr="005147BB">
              <w:rPr>
                <w:rFonts w:cs="Arial"/>
                <w:color w:val="000000"/>
              </w:rPr>
              <w:t>general client base</w:t>
            </w:r>
            <w:r w:rsidR="00852877">
              <w:rPr>
                <w:rFonts w:cs="Arial"/>
                <w:color w:val="000000"/>
              </w:rPr>
              <w:t xml:space="preserve"> to</w:t>
            </w:r>
            <w:r w:rsidRPr="005147BB">
              <w:rPr>
                <w:rFonts w:cs="Arial"/>
                <w:color w:val="000000"/>
              </w:rPr>
              <w:t xml:space="preserve"> ETF</w:t>
            </w:r>
            <w:r w:rsidR="00852877">
              <w:rPr>
                <w:rFonts w:cs="Arial"/>
                <w:color w:val="000000"/>
              </w:rPr>
              <w:t>’s needs, ETF</w:t>
            </w:r>
            <w:r w:rsidRPr="005147BB">
              <w:rPr>
                <w:rFonts w:cs="Arial"/>
                <w:color w:val="000000"/>
              </w:rPr>
              <w:t xml:space="preserve"> may </w:t>
            </w:r>
            <w:r w:rsidR="00852877">
              <w:rPr>
                <w:rFonts w:cs="Arial"/>
                <w:color w:val="000000"/>
              </w:rPr>
              <w:t>deny distribution of those materials.</w:t>
            </w:r>
          </w:p>
        </w:tc>
      </w:tr>
      <w:tr w:rsidR="00852877" w14:paraId="22312603" w14:textId="77777777" w:rsidTr="0059128F">
        <w:tc>
          <w:tcPr>
            <w:tcW w:w="535" w:type="dxa"/>
          </w:tcPr>
          <w:p w14:paraId="7B71570C" w14:textId="77777777" w:rsidR="00852877" w:rsidRDefault="00852877" w:rsidP="00F01E1A">
            <w:pPr>
              <w:pStyle w:val="ListParagraph"/>
              <w:numPr>
                <w:ilvl w:val="0"/>
                <w:numId w:val="22"/>
              </w:numPr>
            </w:pPr>
          </w:p>
        </w:tc>
        <w:tc>
          <w:tcPr>
            <w:tcW w:w="8815" w:type="dxa"/>
          </w:tcPr>
          <w:p w14:paraId="5A91F16C" w14:textId="43DA604F" w:rsidR="00852877" w:rsidRPr="00AD7BC0" w:rsidRDefault="00852877" w:rsidP="00852877">
            <w:pPr>
              <w:pStyle w:val="LRWLBodyText"/>
              <w:rPr>
                <w:rFonts w:cs="Arial"/>
                <w:color w:val="000000"/>
              </w:rPr>
            </w:pPr>
            <w:r w:rsidRPr="00AD7BC0">
              <w:rPr>
                <w:rFonts w:cs="Arial"/>
              </w:rPr>
              <w:t xml:space="preserve">All </w:t>
            </w:r>
            <w:r w:rsidRPr="00AD7BC0">
              <w:rPr>
                <w:rFonts w:cs="Arial"/>
                <w:color w:val="000000"/>
              </w:rPr>
              <w:t xml:space="preserve">brochures, informational material, electronic and web material must include statements or disclaimers as required by ETF, </w:t>
            </w:r>
            <w:r w:rsidR="00410419">
              <w:rPr>
                <w:rFonts w:cs="Arial"/>
                <w:color w:val="000000"/>
              </w:rPr>
              <w:t>S</w:t>
            </w:r>
            <w:r w:rsidRPr="00AD7BC0">
              <w:rPr>
                <w:rFonts w:cs="Arial"/>
                <w:color w:val="000000"/>
              </w:rPr>
              <w:t xml:space="preserve">tate </w:t>
            </w:r>
            <w:r w:rsidR="002062E3">
              <w:rPr>
                <w:rFonts w:cs="Arial"/>
                <w:color w:val="000000"/>
              </w:rPr>
              <w:t>and</w:t>
            </w:r>
            <w:r w:rsidRPr="00AD7BC0">
              <w:rPr>
                <w:rFonts w:cs="Arial"/>
                <w:color w:val="000000"/>
              </w:rPr>
              <w:t xml:space="preserve"> </w:t>
            </w:r>
            <w:r w:rsidR="00410419">
              <w:rPr>
                <w:rFonts w:cs="Arial"/>
                <w:color w:val="000000"/>
              </w:rPr>
              <w:t>f</w:t>
            </w:r>
            <w:r w:rsidRPr="00AD7BC0">
              <w:rPr>
                <w:rFonts w:cs="Arial"/>
                <w:color w:val="000000"/>
              </w:rPr>
              <w:t>ederal law. This includes, but is not limited to:</w:t>
            </w:r>
          </w:p>
          <w:p w14:paraId="2BE7A0DD" w14:textId="77777777" w:rsidR="00852877" w:rsidRPr="00AD7BC0" w:rsidRDefault="00852877" w:rsidP="00F01E1A">
            <w:pPr>
              <w:pStyle w:val="LRWLBodyText"/>
              <w:numPr>
                <w:ilvl w:val="0"/>
                <w:numId w:val="38"/>
              </w:numPr>
              <w:rPr>
                <w:rFonts w:cs="Arial"/>
                <w:color w:val="000000"/>
              </w:rPr>
            </w:pPr>
            <w:r w:rsidRPr="00AD7BC0">
              <w:rPr>
                <w:rFonts w:cs="Arial"/>
                <w:color w:val="000000"/>
              </w:rPr>
              <w:t>Applicable notices for a voluntary wellness program offered as part of an employer health program</w:t>
            </w:r>
            <w:r>
              <w:rPr>
                <w:rFonts w:cs="Arial"/>
                <w:color w:val="000000"/>
              </w:rPr>
              <w:t>;</w:t>
            </w:r>
          </w:p>
          <w:p w14:paraId="701315F3" w14:textId="77777777" w:rsidR="00852877" w:rsidRDefault="00852877" w:rsidP="00F01E1A">
            <w:pPr>
              <w:pStyle w:val="LRWLBodyText"/>
              <w:numPr>
                <w:ilvl w:val="0"/>
                <w:numId w:val="38"/>
              </w:numPr>
              <w:rPr>
                <w:rFonts w:cs="Arial"/>
                <w:color w:val="000000"/>
              </w:rPr>
            </w:pPr>
            <w:r w:rsidRPr="00AD7BC0">
              <w:rPr>
                <w:rFonts w:cs="Arial"/>
                <w:color w:val="000000"/>
              </w:rPr>
              <w:t>Availability of materials in alternative format or assistance with accessing services for those with disabilities</w:t>
            </w:r>
            <w:r>
              <w:rPr>
                <w:rFonts w:cs="Arial"/>
                <w:color w:val="000000"/>
              </w:rPr>
              <w:t>;</w:t>
            </w:r>
          </w:p>
          <w:p w14:paraId="273DF90D" w14:textId="29A75275" w:rsidR="00852877" w:rsidRDefault="00852877" w:rsidP="00F01E1A">
            <w:pPr>
              <w:pStyle w:val="LRWLBodyText"/>
              <w:numPr>
                <w:ilvl w:val="0"/>
                <w:numId w:val="38"/>
              </w:numPr>
              <w:rPr>
                <w:rFonts w:cs="Arial"/>
                <w:color w:val="000000"/>
              </w:rPr>
            </w:pPr>
            <w:r w:rsidRPr="00AD7BC0">
              <w:rPr>
                <w:rFonts w:cs="Arial"/>
                <w:color w:val="000000"/>
              </w:rPr>
              <w:t>Disclosure of taxability of cash incentives and reporting of payment amounts to employer</w:t>
            </w:r>
            <w:r w:rsidR="00FA62F0">
              <w:rPr>
                <w:rFonts w:cs="Arial"/>
                <w:color w:val="000000"/>
              </w:rPr>
              <w:t xml:space="preserve">; </w:t>
            </w:r>
            <w:r w:rsidR="00410419">
              <w:rPr>
                <w:rFonts w:cs="Arial"/>
                <w:color w:val="000000"/>
              </w:rPr>
              <w:t>and</w:t>
            </w:r>
          </w:p>
          <w:p w14:paraId="46255B6C" w14:textId="71265915" w:rsidR="00852877" w:rsidRPr="00F32D56" w:rsidRDefault="00852877" w:rsidP="00F01E1A">
            <w:pPr>
              <w:pStyle w:val="LRWLBodyText"/>
              <w:numPr>
                <w:ilvl w:val="0"/>
                <w:numId w:val="38"/>
              </w:numPr>
              <w:rPr>
                <w:rFonts w:cs="Arial"/>
                <w:color w:val="000000"/>
              </w:rPr>
            </w:pPr>
            <w:r>
              <w:rPr>
                <w:rFonts w:cs="Arial"/>
                <w:color w:val="000000"/>
              </w:rPr>
              <w:t>Disclaimers about eligibility for the program</w:t>
            </w:r>
            <w:r w:rsidR="00FA62F0">
              <w:rPr>
                <w:rFonts w:cs="Arial"/>
                <w:color w:val="000000"/>
              </w:rPr>
              <w:t>.</w:t>
            </w:r>
          </w:p>
        </w:tc>
      </w:tr>
      <w:tr w:rsidR="007D2C86" w14:paraId="09616155" w14:textId="77777777" w:rsidTr="0059128F">
        <w:tc>
          <w:tcPr>
            <w:tcW w:w="535" w:type="dxa"/>
          </w:tcPr>
          <w:p w14:paraId="4CDDEEAF" w14:textId="72DB460A" w:rsidR="007D2C86" w:rsidRDefault="007D2C86" w:rsidP="00F01E1A">
            <w:pPr>
              <w:pStyle w:val="ListParagraph"/>
              <w:numPr>
                <w:ilvl w:val="0"/>
                <w:numId w:val="22"/>
              </w:numPr>
            </w:pPr>
          </w:p>
        </w:tc>
        <w:tc>
          <w:tcPr>
            <w:tcW w:w="8815" w:type="dxa"/>
          </w:tcPr>
          <w:p w14:paraId="4D77BE30" w14:textId="248B85BC" w:rsidR="00F72165" w:rsidRDefault="007D2C86" w:rsidP="007D2C86">
            <w:pPr>
              <w:pStyle w:val="LRWLBodyText"/>
              <w:rPr>
                <w:rFonts w:cs="Arial"/>
                <w:color w:val="000000"/>
              </w:rPr>
            </w:pPr>
            <w:r w:rsidRPr="00F32D56">
              <w:rPr>
                <w:rFonts w:cs="Arial"/>
                <w:color w:val="000000"/>
              </w:rPr>
              <w:t xml:space="preserve">Using a variety of delivery methods, </w:t>
            </w:r>
            <w:r w:rsidR="00AD0703">
              <w:rPr>
                <w:rFonts w:cs="Arial"/>
                <w:color w:val="000000"/>
              </w:rPr>
              <w:t xml:space="preserve">the </w:t>
            </w:r>
            <w:r w:rsidR="00A146AC">
              <w:rPr>
                <w:rFonts w:cs="Arial"/>
                <w:color w:val="000000"/>
              </w:rPr>
              <w:t>Contractor</w:t>
            </w:r>
            <w:r w:rsidRPr="00F32D56">
              <w:rPr>
                <w:rFonts w:cs="Arial"/>
                <w:color w:val="000000"/>
              </w:rPr>
              <w:t xml:space="preserve"> </w:t>
            </w:r>
            <w:r>
              <w:rPr>
                <w:rFonts w:cs="Arial"/>
                <w:color w:val="000000"/>
              </w:rPr>
              <w:t>must</w:t>
            </w:r>
            <w:r w:rsidRPr="00F32D56">
              <w:rPr>
                <w:rFonts w:cs="Arial"/>
                <w:color w:val="000000"/>
              </w:rPr>
              <w:t xml:space="preserve"> </w:t>
            </w:r>
            <w:r>
              <w:rPr>
                <w:rFonts w:cs="Arial"/>
                <w:color w:val="000000"/>
              </w:rPr>
              <w:t>promote</w:t>
            </w:r>
            <w:r w:rsidRPr="00F32D56">
              <w:rPr>
                <w:rFonts w:cs="Arial"/>
                <w:color w:val="000000"/>
              </w:rPr>
              <w:t xml:space="preserve"> the program to all eligible </w:t>
            </w:r>
            <w:r w:rsidR="00E46012">
              <w:rPr>
                <w:rFonts w:cs="Arial"/>
                <w:color w:val="000000"/>
              </w:rPr>
              <w:t>Member</w:t>
            </w:r>
            <w:r w:rsidR="00E46012" w:rsidRPr="00F32D56">
              <w:rPr>
                <w:rFonts w:cs="Arial"/>
                <w:color w:val="000000"/>
              </w:rPr>
              <w:t xml:space="preserve">s </w:t>
            </w:r>
            <w:r w:rsidRPr="00F32D56">
              <w:rPr>
                <w:rFonts w:cs="Arial"/>
                <w:color w:val="000000"/>
              </w:rPr>
              <w:t>to assist with program awareness</w:t>
            </w:r>
            <w:r w:rsidR="00981318">
              <w:rPr>
                <w:rFonts w:cs="Arial"/>
                <w:color w:val="000000"/>
              </w:rPr>
              <w:t xml:space="preserve"> and </w:t>
            </w:r>
            <w:r w:rsidRPr="00F32D56">
              <w:rPr>
                <w:rFonts w:cs="Arial"/>
                <w:color w:val="000000"/>
              </w:rPr>
              <w:t>goals</w:t>
            </w:r>
            <w:r w:rsidR="00981318">
              <w:rPr>
                <w:rFonts w:cs="Arial"/>
                <w:color w:val="000000"/>
              </w:rPr>
              <w:t>, and availa</w:t>
            </w:r>
            <w:r w:rsidR="00502132">
              <w:rPr>
                <w:rFonts w:cs="Arial"/>
                <w:color w:val="000000"/>
              </w:rPr>
              <w:t>ble tools and</w:t>
            </w:r>
            <w:r w:rsidRPr="00F32D56">
              <w:rPr>
                <w:rFonts w:cs="Arial"/>
                <w:color w:val="000000"/>
              </w:rPr>
              <w:t xml:space="preserve"> resources</w:t>
            </w:r>
            <w:r w:rsidR="00502132">
              <w:rPr>
                <w:rFonts w:cs="Arial"/>
                <w:color w:val="000000"/>
              </w:rPr>
              <w:t>.</w:t>
            </w:r>
            <w:r w:rsidR="002D08A3">
              <w:rPr>
                <w:rFonts w:cs="Arial"/>
                <w:color w:val="000000"/>
              </w:rPr>
              <w:t xml:space="preserve"> All materials must be pre-approved by ETF for content, design and format prior to distribution.</w:t>
            </w:r>
            <w:r>
              <w:rPr>
                <w:rFonts w:cs="Arial"/>
                <w:color w:val="000000"/>
              </w:rPr>
              <w:t xml:space="preserve"> </w:t>
            </w:r>
          </w:p>
          <w:p w14:paraId="26888EEB" w14:textId="6ACC1C55" w:rsidR="00404866" w:rsidRDefault="00404866" w:rsidP="00F01E1A">
            <w:pPr>
              <w:pStyle w:val="LRWLBodyText"/>
              <w:numPr>
                <w:ilvl w:val="0"/>
                <w:numId w:val="52"/>
              </w:numPr>
              <w:rPr>
                <w:rFonts w:cs="Arial"/>
                <w:color w:val="000000"/>
              </w:rPr>
            </w:pPr>
            <w:r w:rsidRPr="00404866">
              <w:rPr>
                <w:rFonts w:cs="Arial"/>
                <w:color w:val="000000"/>
              </w:rPr>
              <w:t xml:space="preserve">The </w:t>
            </w:r>
            <w:r w:rsidR="00A146AC">
              <w:rPr>
                <w:rFonts w:cs="Arial"/>
                <w:color w:val="000000"/>
              </w:rPr>
              <w:t>Contractor</w:t>
            </w:r>
            <w:r w:rsidRPr="00404866">
              <w:rPr>
                <w:rFonts w:cs="Arial"/>
                <w:color w:val="000000"/>
              </w:rPr>
              <w:t xml:space="preserve"> will develop communications that can be sent to employer</w:t>
            </w:r>
            <w:r w:rsidR="00A22C84">
              <w:rPr>
                <w:rFonts w:cs="Arial"/>
                <w:color w:val="000000"/>
              </w:rPr>
              <w:t xml:space="preserve"> groups</w:t>
            </w:r>
            <w:r w:rsidRPr="00404866">
              <w:rPr>
                <w:rFonts w:cs="Arial"/>
                <w:color w:val="000000"/>
              </w:rPr>
              <w:t xml:space="preserve"> for electronic distribution to employees and posted at the employer site to educate employers and employees on the programs and the </w:t>
            </w:r>
            <w:r w:rsidR="00A146AC">
              <w:rPr>
                <w:rFonts w:cs="Arial"/>
                <w:color w:val="000000"/>
              </w:rPr>
              <w:t>Contractor</w:t>
            </w:r>
            <w:r w:rsidRPr="00404866">
              <w:rPr>
                <w:rFonts w:cs="Arial"/>
                <w:color w:val="000000"/>
              </w:rPr>
              <w:t>.</w:t>
            </w:r>
          </w:p>
          <w:p w14:paraId="36F95D1E" w14:textId="2F42FE94" w:rsidR="007D2C86" w:rsidRPr="00404866" w:rsidRDefault="00F72165" w:rsidP="00F01E1A">
            <w:pPr>
              <w:pStyle w:val="LRWLBodyText"/>
              <w:numPr>
                <w:ilvl w:val="0"/>
                <w:numId w:val="52"/>
              </w:numPr>
              <w:ind w:left="707"/>
              <w:rPr>
                <w:rFonts w:cs="Arial"/>
                <w:color w:val="000000"/>
              </w:rPr>
            </w:pPr>
            <w:r w:rsidRPr="00404866">
              <w:rPr>
                <w:rFonts w:cs="Arial"/>
                <w:color w:val="000000"/>
              </w:rPr>
              <w:t xml:space="preserve">The </w:t>
            </w:r>
            <w:r w:rsidR="00A146AC">
              <w:rPr>
                <w:rFonts w:cs="Arial"/>
                <w:color w:val="000000"/>
              </w:rPr>
              <w:t>Contractor</w:t>
            </w:r>
            <w:r w:rsidRPr="00404866">
              <w:rPr>
                <w:rFonts w:cs="Arial"/>
                <w:color w:val="000000"/>
              </w:rPr>
              <w:t xml:space="preserve"> is responsible for developing, printing</w:t>
            </w:r>
            <w:r w:rsidR="00A652A0" w:rsidRPr="00404866">
              <w:rPr>
                <w:rFonts w:cs="Arial"/>
                <w:color w:val="000000"/>
              </w:rPr>
              <w:t>, posting (</w:t>
            </w:r>
            <w:r w:rsidR="00370E65" w:rsidRPr="00404866">
              <w:rPr>
                <w:rFonts w:cs="Arial"/>
                <w:color w:val="000000"/>
              </w:rPr>
              <w:t xml:space="preserve">on the </w:t>
            </w:r>
            <w:r w:rsidR="00A652A0" w:rsidRPr="00404866">
              <w:rPr>
                <w:rFonts w:cs="Arial"/>
                <w:color w:val="000000"/>
              </w:rPr>
              <w:t>program web site and web</w:t>
            </w:r>
            <w:r w:rsidR="00286F4C" w:rsidRPr="00404866">
              <w:rPr>
                <w:rFonts w:cs="Arial"/>
                <w:color w:val="000000"/>
              </w:rPr>
              <w:t>-</w:t>
            </w:r>
            <w:r w:rsidR="00A652A0" w:rsidRPr="00404866">
              <w:rPr>
                <w:rFonts w:cs="Arial"/>
                <w:color w:val="000000"/>
              </w:rPr>
              <w:t>portal), emailing</w:t>
            </w:r>
            <w:r w:rsidR="00404866">
              <w:rPr>
                <w:rFonts w:cs="Arial"/>
                <w:color w:val="000000"/>
              </w:rPr>
              <w:t>, texting</w:t>
            </w:r>
            <w:r w:rsidR="00A652A0" w:rsidRPr="00404866">
              <w:rPr>
                <w:rFonts w:cs="Arial"/>
                <w:color w:val="000000"/>
              </w:rPr>
              <w:t xml:space="preserve"> and mailing (USPS)</w:t>
            </w:r>
            <w:r w:rsidRPr="00404866">
              <w:rPr>
                <w:rFonts w:cs="Arial"/>
                <w:color w:val="000000"/>
              </w:rPr>
              <w:t xml:space="preserve"> program materials and notices.</w:t>
            </w:r>
            <w:r w:rsidR="00404866">
              <w:rPr>
                <w:rFonts w:cs="Arial"/>
                <w:color w:val="000000"/>
              </w:rPr>
              <w:t xml:space="preserve"> In addition, </w:t>
            </w:r>
            <w:r w:rsidR="00D102D7" w:rsidRPr="00404866">
              <w:rPr>
                <w:rFonts w:cs="Arial"/>
                <w:color w:val="000000"/>
              </w:rPr>
              <w:t xml:space="preserve">the </w:t>
            </w:r>
            <w:r w:rsidR="00A146AC">
              <w:rPr>
                <w:rFonts w:cs="Arial"/>
                <w:color w:val="000000"/>
              </w:rPr>
              <w:t>Contractor</w:t>
            </w:r>
            <w:r w:rsidR="00D102D7" w:rsidRPr="00404866">
              <w:rPr>
                <w:rFonts w:cs="Arial"/>
                <w:color w:val="000000"/>
              </w:rPr>
              <w:t xml:space="preserve"> must </w:t>
            </w:r>
            <w:r w:rsidR="002062E3" w:rsidRPr="00404866">
              <w:rPr>
                <w:rFonts w:cs="Arial"/>
                <w:color w:val="000000"/>
              </w:rPr>
              <w:t xml:space="preserve">send </w:t>
            </w:r>
            <w:r w:rsidR="00D102D7" w:rsidRPr="00404866">
              <w:rPr>
                <w:rFonts w:cs="Arial"/>
                <w:color w:val="000000"/>
              </w:rPr>
              <w:t xml:space="preserve">the following </w:t>
            </w:r>
            <w:r w:rsidR="002062E3" w:rsidRPr="00404866">
              <w:rPr>
                <w:rFonts w:cs="Arial"/>
                <w:color w:val="000000"/>
              </w:rPr>
              <w:t xml:space="preserve">materials by </w:t>
            </w:r>
            <w:r w:rsidR="00BD0A63" w:rsidRPr="00404866">
              <w:rPr>
                <w:rFonts w:cs="Arial"/>
                <w:color w:val="000000"/>
              </w:rPr>
              <w:t>USPS</w:t>
            </w:r>
            <w:r w:rsidR="002062E3" w:rsidRPr="00404866">
              <w:rPr>
                <w:rFonts w:cs="Arial"/>
                <w:color w:val="000000"/>
              </w:rPr>
              <w:t xml:space="preserve"> </w:t>
            </w:r>
            <w:r w:rsidR="002062E3" w:rsidRPr="00404866">
              <w:rPr>
                <w:rFonts w:cs="Arial"/>
                <w:color w:val="000000"/>
              </w:rPr>
              <w:lastRenderedPageBreak/>
              <w:t>each year,</w:t>
            </w:r>
            <w:r w:rsidR="00FD2F6B" w:rsidRPr="00404866">
              <w:rPr>
                <w:rFonts w:cs="Arial"/>
                <w:color w:val="000000"/>
              </w:rPr>
              <w:t xml:space="preserve"> unless otherwise specified,</w:t>
            </w:r>
            <w:r w:rsidR="002062E3" w:rsidRPr="00404866">
              <w:rPr>
                <w:rFonts w:cs="Arial"/>
                <w:color w:val="000000"/>
              </w:rPr>
              <w:t xml:space="preserve"> in a format approved by ETF (e.g., postcards, flyers)</w:t>
            </w:r>
            <w:r w:rsidR="007D2C86" w:rsidRPr="00404866">
              <w:rPr>
                <w:rFonts w:cs="Arial"/>
                <w:color w:val="000000"/>
              </w:rPr>
              <w:t>:</w:t>
            </w:r>
          </w:p>
          <w:p w14:paraId="17762590" w14:textId="4A5D5C52" w:rsidR="007D2C86" w:rsidRDefault="007D2C86" w:rsidP="00F01E1A">
            <w:pPr>
              <w:pStyle w:val="LRWLBodyText"/>
              <w:numPr>
                <w:ilvl w:val="0"/>
                <w:numId w:val="51"/>
              </w:numPr>
              <w:rPr>
                <w:rFonts w:cs="Arial"/>
                <w:color w:val="000000"/>
              </w:rPr>
            </w:pPr>
            <w:r>
              <w:rPr>
                <w:rFonts w:cs="Arial"/>
                <w:color w:val="000000"/>
              </w:rPr>
              <w:t>A</w:t>
            </w:r>
            <w:r w:rsidR="00502132">
              <w:rPr>
                <w:rFonts w:cs="Arial"/>
                <w:color w:val="000000"/>
              </w:rPr>
              <w:t>t</w:t>
            </w:r>
            <w:r w:rsidRPr="00F32D56">
              <w:rPr>
                <w:rFonts w:cs="Arial"/>
                <w:color w:val="000000"/>
              </w:rPr>
              <w:t xml:space="preserve"> </w:t>
            </w:r>
            <w:r>
              <w:rPr>
                <w:rFonts w:cs="Arial"/>
                <w:color w:val="000000"/>
              </w:rPr>
              <w:t xml:space="preserve">least two </w:t>
            </w:r>
            <w:r w:rsidRPr="00F32D56">
              <w:rPr>
                <w:rFonts w:cs="Arial"/>
                <w:color w:val="000000"/>
              </w:rPr>
              <w:t>(</w:t>
            </w:r>
            <w:r>
              <w:rPr>
                <w:rFonts w:cs="Arial"/>
                <w:color w:val="000000"/>
              </w:rPr>
              <w:t>2</w:t>
            </w:r>
            <w:r w:rsidRPr="00F32D56">
              <w:rPr>
                <w:rFonts w:cs="Arial"/>
                <w:color w:val="000000"/>
              </w:rPr>
              <w:t>) direct mailing</w:t>
            </w:r>
            <w:r>
              <w:rPr>
                <w:rFonts w:cs="Arial"/>
                <w:color w:val="000000"/>
              </w:rPr>
              <w:t>s during 2016 open enrollment</w:t>
            </w:r>
            <w:r w:rsidRPr="00F32D56">
              <w:rPr>
                <w:rFonts w:cs="Arial"/>
                <w:color w:val="000000"/>
              </w:rPr>
              <w:t xml:space="preserve"> to </w:t>
            </w:r>
            <w:r>
              <w:rPr>
                <w:rFonts w:cs="Arial"/>
                <w:color w:val="000000"/>
              </w:rPr>
              <w:t xml:space="preserve">all </w:t>
            </w:r>
            <w:r w:rsidRPr="00F32D56">
              <w:rPr>
                <w:rFonts w:cs="Arial"/>
                <w:color w:val="000000"/>
              </w:rPr>
              <w:t>households</w:t>
            </w:r>
            <w:r w:rsidR="00FD2F6B">
              <w:rPr>
                <w:rFonts w:cs="Arial"/>
                <w:color w:val="000000"/>
              </w:rPr>
              <w:t xml:space="preserve"> with eligible </w:t>
            </w:r>
            <w:r w:rsidR="00E46012">
              <w:rPr>
                <w:rFonts w:cs="Arial"/>
                <w:color w:val="000000"/>
              </w:rPr>
              <w:t>Members</w:t>
            </w:r>
            <w:r w:rsidR="00E46012" w:rsidRPr="00F32D56">
              <w:rPr>
                <w:rFonts w:cs="Arial"/>
                <w:color w:val="000000"/>
              </w:rPr>
              <w:t xml:space="preserve"> </w:t>
            </w:r>
            <w:r>
              <w:rPr>
                <w:rFonts w:cs="Arial"/>
                <w:color w:val="000000"/>
              </w:rPr>
              <w:t xml:space="preserve">announcing the transition to a single wellness vendor for 2017. In subsequent years, </w:t>
            </w:r>
            <w:r w:rsidR="00B51E41">
              <w:rPr>
                <w:rFonts w:cs="Arial"/>
                <w:color w:val="000000"/>
              </w:rPr>
              <w:t xml:space="preserve">two </w:t>
            </w:r>
            <w:r w:rsidRPr="00F32D56">
              <w:rPr>
                <w:rFonts w:cs="Arial"/>
                <w:color w:val="000000"/>
              </w:rPr>
              <w:t>(</w:t>
            </w:r>
            <w:r w:rsidR="00B51E41">
              <w:rPr>
                <w:rFonts w:cs="Arial"/>
                <w:color w:val="000000"/>
              </w:rPr>
              <w:t>2</w:t>
            </w:r>
            <w:r w:rsidRPr="00F32D56">
              <w:rPr>
                <w:rFonts w:cs="Arial"/>
                <w:color w:val="000000"/>
              </w:rPr>
              <w:t>) direct mailing</w:t>
            </w:r>
            <w:r w:rsidR="00B51E41">
              <w:rPr>
                <w:rFonts w:cs="Arial"/>
                <w:color w:val="000000"/>
              </w:rPr>
              <w:t>s</w:t>
            </w:r>
            <w:r>
              <w:rPr>
                <w:rFonts w:cs="Arial"/>
                <w:color w:val="000000"/>
              </w:rPr>
              <w:t xml:space="preserve"> will be completed during open enrollment</w:t>
            </w:r>
            <w:r w:rsidRPr="00F32D56">
              <w:rPr>
                <w:rFonts w:cs="Arial"/>
                <w:color w:val="000000"/>
              </w:rPr>
              <w:t xml:space="preserve"> to </w:t>
            </w:r>
            <w:r>
              <w:rPr>
                <w:rFonts w:cs="Arial"/>
                <w:color w:val="000000"/>
              </w:rPr>
              <w:t xml:space="preserve">all </w:t>
            </w:r>
            <w:r w:rsidRPr="00F32D56">
              <w:rPr>
                <w:rFonts w:cs="Arial"/>
                <w:color w:val="000000"/>
              </w:rPr>
              <w:t xml:space="preserve">households </w:t>
            </w:r>
            <w:r w:rsidR="00FD2F6B">
              <w:rPr>
                <w:rFonts w:cs="Arial"/>
                <w:color w:val="000000"/>
              </w:rPr>
              <w:t xml:space="preserve">with eligible </w:t>
            </w:r>
            <w:r w:rsidR="00E46012">
              <w:rPr>
                <w:rFonts w:cs="Arial"/>
                <w:color w:val="000000"/>
              </w:rPr>
              <w:t xml:space="preserve">Members </w:t>
            </w:r>
            <w:r>
              <w:rPr>
                <w:rFonts w:cs="Arial"/>
                <w:color w:val="000000"/>
              </w:rPr>
              <w:t>describing the program</w:t>
            </w:r>
            <w:r w:rsidR="00502132">
              <w:rPr>
                <w:rFonts w:cs="Arial"/>
                <w:color w:val="000000"/>
              </w:rPr>
              <w:t xml:space="preserve"> updates</w:t>
            </w:r>
            <w:r>
              <w:rPr>
                <w:rFonts w:cs="Arial"/>
                <w:color w:val="000000"/>
              </w:rPr>
              <w:t xml:space="preserve"> and providing </w:t>
            </w:r>
            <w:r w:rsidRPr="00F32D56">
              <w:rPr>
                <w:rFonts w:cs="Arial"/>
                <w:color w:val="000000"/>
              </w:rPr>
              <w:t>directi</w:t>
            </w:r>
            <w:r>
              <w:rPr>
                <w:rFonts w:cs="Arial"/>
                <w:color w:val="000000"/>
              </w:rPr>
              <w:t>on</w:t>
            </w:r>
            <w:r w:rsidRPr="00F32D56">
              <w:rPr>
                <w:rFonts w:cs="Arial"/>
                <w:color w:val="000000"/>
              </w:rPr>
              <w:t xml:space="preserve"> </w:t>
            </w:r>
            <w:r>
              <w:rPr>
                <w:rFonts w:cs="Arial"/>
                <w:color w:val="000000"/>
              </w:rPr>
              <w:t>for</w:t>
            </w:r>
            <w:r w:rsidRPr="00F32D56">
              <w:rPr>
                <w:rFonts w:cs="Arial"/>
                <w:color w:val="000000"/>
              </w:rPr>
              <w:t xml:space="preserve"> </w:t>
            </w:r>
            <w:r>
              <w:rPr>
                <w:rFonts w:cs="Arial"/>
                <w:color w:val="000000"/>
              </w:rPr>
              <w:t xml:space="preserve">accessing </w:t>
            </w:r>
            <w:r w:rsidRPr="00F32D56">
              <w:rPr>
                <w:rFonts w:cs="Arial"/>
                <w:color w:val="000000"/>
              </w:rPr>
              <w:t xml:space="preserve">the </w:t>
            </w:r>
            <w:r>
              <w:rPr>
                <w:rFonts w:cs="Arial"/>
                <w:color w:val="000000"/>
              </w:rPr>
              <w:t xml:space="preserve">program </w:t>
            </w:r>
            <w:r w:rsidR="008C379A">
              <w:rPr>
                <w:rFonts w:cs="Arial"/>
                <w:color w:val="000000"/>
              </w:rPr>
              <w:t>web-portal</w:t>
            </w:r>
            <w:r w:rsidR="00587E96">
              <w:rPr>
                <w:rFonts w:cs="Arial"/>
                <w:color w:val="000000"/>
              </w:rPr>
              <w:t>;</w:t>
            </w:r>
          </w:p>
          <w:p w14:paraId="2A8BBABD" w14:textId="0F680A23" w:rsidR="007D2C86" w:rsidRDefault="007D2C86" w:rsidP="00F01E1A">
            <w:pPr>
              <w:pStyle w:val="LRWLBodyText"/>
              <w:numPr>
                <w:ilvl w:val="0"/>
                <w:numId w:val="51"/>
              </w:numPr>
              <w:rPr>
                <w:rFonts w:cs="Arial"/>
                <w:color w:val="000000"/>
              </w:rPr>
            </w:pPr>
            <w:r>
              <w:rPr>
                <w:rFonts w:cs="Arial"/>
                <w:color w:val="000000"/>
              </w:rPr>
              <w:t>A</w:t>
            </w:r>
            <w:r w:rsidR="00502132">
              <w:rPr>
                <w:rFonts w:cs="Arial"/>
                <w:color w:val="000000"/>
              </w:rPr>
              <w:t>t</w:t>
            </w:r>
            <w:r w:rsidRPr="00F32D56">
              <w:rPr>
                <w:rFonts w:cs="Arial"/>
                <w:color w:val="000000"/>
              </w:rPr>
              <w:t xml:space="preserve"> </w:t>
            </w:r>
            <w:r>
              <w:rPr>
                <w:rFonts w:cs="Arial"/>
                <w:color w:val="000000"/>
              </w:rPr>
              <w:t xml:space="preserve">least one </w:t>
            </w:r>
            <w:r w:rsidRPr="00F32D56">
              <w:rPr>
                <w:rFonts w:cs="Arial"/>
                <w:color w:val="000000"/>
              </w:rPr>
              <w:t>(</w:t>
            </w:r>
            <w:r>
              <w:rPr>
                <w:rFonts w:cs="Arial"/>
                <w:color w:val="000000"/>
              </w:rPr>
              <w:t>1</w:t>
            </w:r>
            <w:r w:rsidRPr="00F32D56">
              <w:rPr>
                <w:rFonts w:cs="Arial"/>
                <w:color w:val="000000"/>
              </w:rPr>
              <w:t>) direct mailing</w:t>
            </w:r>
            <w:r>
              <w:rPr>
                <w:rFonts w:cs="Arial"/>
                <w:color w:val="000000"/>
              </w:rPr>
              <w:t xml:space="preserve"> each year</w:t>
            </w:r>
            <w:r w:rsidRPr="00F32D56">
              <w:rPr>
                <w:rFonts w:cs="Arial"/>
                <w:color w:val="000000"/>
              </w:rPr>
              <w:t xml:space="preserve"> to </w:t>
            </w:r>
            <w:r>
              <w:rPr>
                <w:rFonts w:cs="Arial"/>
                <w:color w:val="000000"/>
              </w:rPr>
              <w:t xml:space="preserve">all </w:t>
            </w:r>
            <w:r w:rsidRPr="00F32D56">
              <w:rPr>
                <w:rFonts w:cs="Arial"/>
                <w:color w:val="000000"/>
              </w:rPr>
              <w:t xml:space="preserve">households </w:t>
            </w:r>
            <w:r w:rsidR="00FD2F6B">
              <w:rPr>
                <w:rFonts w:cs="Arial"/>
                <w:color w:val="000000"/>
              </w:rPr>
              <w:t xml:space="preserve">with eligible </w:t>
            </w:r>
            <w:r w:rsidR="00E46012">
              <w:rPr>
                <w:rFonts w:cs="Arial"/>
                <w:color w:val="000000"/>
              </w:rPr>
              <w:t xml:space="preserve">Members </w:t>
            </w:r>
            <w:r>
              <w:rPr>
                <w:rFonts w:cs="Arial"/>
                <w:color w:val="000000"/>
              </w:rPr>
              <w:t xml:space="preserve">describing the program and providing </w:t>
            </w:r>
            <w:r w:rsidRPr="00F32D56">
              <w:rPr>
                <w:rFonts w:cs="Arial"/>
                <w:color w:val="000000"/>
              </w:rPr>
              <w:t>directi</w:t>
            </w:r>
            <w:r>
              <w:rPr>
                <w:rFonts w:cs="Arial"/>
                <w:color w:val="000000"/>
              </w:rPr>
              <w:t>on</w:t>
            </w:r>
            <w:r w:rsidRPr="00F32D56">
              <w:rPr>
                <w:rFonts w:cs="Arial"/>
                <w:color w:val="000000"/>
              </w:rPr>
              <w:t xml:space="preserve"> </w:t>
            </w:r>
            <w:r>
              <w:rPr>
                <w:rFonts w:cs="Arial"/>
                <w:color w:val="000000"/>
              </w:rPr>
              <w:t>for</w:t>
            </w:r>
            <w:r w:rsidRPr="00F32D56">
              <w:rPr>
                <w:rFonts w:cs="Arial"/>
                <w:color w:val="000000"/>
              </w:rPr>
              <w:t xml:space="preserve"> </w:t>
            </w:r>
            <w:r>
              <w:rPr>
                <w:rFonts w:cs="Arial"/>
                <w:color w:val="000000"/>
              </w:rPr>
              <w:t xml:space="preserve">accessing </w:t>
            </w:r>
            <w:r w:rsidRPr="00F32D56">
              <w:rPr>
                <w:rFonts w:cs="Arial"/>
                <w:color w:val="000000"/>
              </w:rPr>
              <w:t xml:space="preserve">the </w:t>
            </w:r>
            <w:r>
              <w:rPr>
                <w:rFonts w:cs="Arial"/>
                <w:color w:val="000000"/>
              </w:rPr>
              <w:t xml:space="preserve">program </w:t>
            </w:r>
            <w:r w:rsidR="008C379A">
              <w:rPr>
                <w:rFonts w:cs="Arial"/>
                <w:color w:val="000000"/>
              </w:rPr>
              <w:t>web-portal</w:t>
            </w:r>
            <w:r w:rsidR="00502132">
              <w:rPr>
                <w:rFonts w:cs="Arial"/>
                <w:color w:val="000000"/>
              </w:rPr>
              <w:t xml:space="preserve"> n</w:t>
            </w:r>
            <w:r>
              <w:rPr>
                <w:rFonts w:cs="Arial"/>
                <w:color w:val="000000"/>
              </w:rPr>
              <w:t>o later than January 31 of each year</w:t>
            </w:r>
            <w:r w:rsidR="002062E3">
              <w:rPr>
                <w:rFonts w:cs="Arial"/>
                <w:color w:val="000000"/>
              </w:rPr>
              <w:t xml:space="preserve"> of the Contract</w:t>
            </w:r>
            <w:r>
              <w:rPr>
                <w:rFonts w:cs="Arial"/>
                <w:color w:val="000000"/>
              </w:rPr>
              <w:t xml:space="preserve">. For enrollment start dates that occur outside of </w:t>
            </w:r>
            <w:r w:rsidR="00A652A0">
              <w:rPr>
                <w:rFonts w:cs="Arial"/>
                <w:color w:val="000000"/>
              </w:rPr>
              <w:t xml:space="preserve">the </w:t>
            </w:r>
            <w:r>
              <w:rPr>
                <w:rFonts w:cs="Arial"/>
                <w:color w:val="000000"/>
              </w:rPr>
              <w:t>open enrollment</w:t>
            </w:r>
            <w:r w:rsidR="00A652A0">
              <w:rPr>
                <w:rFonts w:cs="Arial"/>
                <w:color w:val="000000"/>
              </w:rPr>
              <w:t xml:space="preserve"> period</w:t>
            </w:r>
            <w:r w:rsidRPr="00F32D56">
              <w:rPr>
                <w:rFonts w:cs="Arial"/>
                <w:color w:val="000000"/>
              </w:rPr>
              <w:t>,</w:t>
            </w:r>
            <w:r>
              <w:rPr>
                <w:rFonts w:cs="Arial"/>
                <w:color w:val="000000"/>
              </w:rPr>
              <w:t xml:space="preserve"> newly enrolled households</w:t>
            </w:r>
            <w:r w:rsidR="00FD2F6B">
              <w:rPr>
                <w:rFonts w:cs="Arial"/>
                <w:color w:val="000000"/>
              </w:rPr>
              <w:t xml:space="preserve"> with eligible </w:t>
            </w:r>
            <w:r w:rsidR="00E46012">
              <w:rPr>
                <w:rFonts w:cs="Arial"/>
                <w:color w:val="000000"/>
              </w:rPr>
              <w:t xml:space="preserve">Members </w:t>
            </w:r>
            <w:r>
              <w:rPr>
                <w:rFonts w:cs="Arial"/>
                <w:color w:val="000000"/>
              </w:rPr>
              <w:t>will receive the direct mailing</w:t>
            </w:r>
            <w:r w:rsidRPr="00F32D56">
              <w:rPr>
                <w:rFonts w:cs="Arial"/>
                <w:color w:val="000000"/>
              </w:rPr>
              <w:t xml:space="preserve"> within </w:t>
            </w:r>
            <w:r w:rsidR="00256F89">
              <w:rPr>
                <w:rFonts w:cs="Arial"/>
                <w:color w:val="000000"/>
              </w:rPr>
              <w:t>forty-five (</w:t>
            </w:r>
            <w:r w:rsidRPr="00F32D56">
              <w:rPr>
                <w:rFonts w:cs="Arial"/>
                <w:color w:val="000000"/>
              </w:rPr>
              <w:t>45</w:t>
            </w:r>
            <w:r w:rsidR="00256F89">
              <w:rPr>
                <w:rFonts w:cs="Arial"/>
                <w:color w:val="000000"/>
              </w:rPr>
              <w:t>)</w:t>
            </w:r>
            <w:r w:rsidRPr="00F32D56">
              <w:rPr>
                <w:rFonts w:cs="Arial"/>
                <w:color w:val="000000"/>
              </w:rPr>
              <w:t xml:space="preserve"> Days of </w:t>
            </w:r>
            <w:r w:rsidR="00FD2F6B">
              <w:rPr>
                <w:rFonts w:cs="Arial"/>
                <w:color w:val="000000"/>
              </w:rPr>
              <w:t xml:space="preserve">their </w:t>
            </w:r>
            <w:r>
              <w:rPr>
                <w:rFonts w:cs="Arial"/>
                <w:color w:val="000000"/>
              </w:rPr>
              <w:t>coverage start date</w:t>
            </w:r>
            <w:r w:rsidR="00587E96">
              <w:rPr>
                <w:rFonts w:cs="Arial"/>
                <w:color w:val="000000"/>
              </w:rPr>
              <w:t>;</w:t>
            </w:r>
          </w:p>
          <w:p w14:paraId="0ED14B45" w14:textId="17762575" w:rsidR="00587E96" w:rsidRDefault="00587E96" w:rsidP="00F01E1A">
            <w:pPr>
              <w:pStyle w:val="LRWLBodyText"/>
              <w:numPr>
                <w:ilvl w:val="0"/>
                <w:numId w:val="51"/>
              </w:numPr>
              <w:rPr>
                <w:rFonts w:cs="Arial"/>
                <w:color w:val="000000"/>
              </w:rPr>
            </w:pPr>
            <w:r>
              <w:rPr>
                <w:rFonts w:cs="Arial"/>
                <w:color w:val="000000"/>
              </w:rPr>
              <w:t xml:space="preserve">For program Participants who have partially completed the annual program requirements, the </w:t>
            </w:r>
            <w:r w:rsidR="00A146AC">
              <w:rPr>
                <w:rFonts w:cs="Arial"/>
                <w:color w:val="000000"/>
              </w:rPr>
              <w:t>Contractor</w:t>
            </w:r>
            <w:r>
              <w:rPr>
                <w:rFonts w:cs="Arial"/>
                <w:color w:val="000000"/>
              </w:rPr>
              <w:t xml:space="preserve"> must send at least three (3) program deadline reminders by email, text or via the web-portal. At least sixty (60) Days prior to the program year deadline the </w:t>
            </w:r>
            <w:r w:rsidR="00A146AC">
              <w:rPr>
                <w:rFonts w:cs="Arial"/>
                <w:color w:val="000000"/>
              </w:rPr>
              <w:t>Contractor</w:t>
            </w:r>
            <w:r>
              <w:rPr>
                <w:rFonts w:cs="Arial"/>
                <w:color w:val="000000"/>
              </w:rPr>
              <w:t xml:space="preserve"> must issue a reminder notice to the Participant by direct mail notifying them of the program deadline and required steps for completion; and</w:t>
            </w:r>
          </w:p>
          <w:p w14:paraId="21171380" w14:textId="2A87BCB7" w:rsidR="00587E96" w:rsidRDefault="00587E96" w:rsidP="00F01E1A">
            <w:pPr>
              <w:pStyle w:val="LRWLBodyText"/>
              <w:numPr>
                <w:ilvl w:val="0"/>
                <w:numId w:val="51"/>
              </w:numPr>
              <w:rPr>
                <w:rFonts w:cs="Arial"/>
                <w:color w:val="000000"/>
              </w:rPr>
            </w:pPr>
            <w:r>
              <w:t>At least two</w:t>
            </w:r>
            <w:r>
              <w:rPr>
                <w:rFonts w:cs="Arial"/>
                <w:color w:val="000000"/>
              </w:rPr>
              <w:t xml:space="preserve"> (2)</w:t>
            </w:r>
            <w:r w:rsidRPr="00F32D56">
              <w:rPr>
                <w:rFonts w:cs="Arial"/>
                <w:color w:val="000000"/>
              </w:rPr>
              <w:t xml:space="preserve"> </w:t>
            </w:r>
            <w:r>
              <w:rPr>
                <w:rFonts w:cs="Arial"/>
                <w:color w:val="000000"/>
              </w:rPr>
              <w:t xml:space="preserve">additional </w:t>
            </w:r>
            <w:r w:rsidRPr="00F32D56">
              <w:rPr>
                <w:rFonts w:cs="Arial"/>
                <w:color w:val="000000"/>
              </w:rPr>
              <w:t xml:space="preserve">direct </w:t>
            </w:r>
            <w:r>
              <w:rPr>
                <w:rFonts w:cs="Arial"/>
                <w:color w:val="000000"/>
              </w:rPr>
              <w:t>mailing</w:t>
            </w:r>
            <w:r w:rsidR="00773ECA">
              <w:rPr>
                <w:rFonts w:cs="Arial"/>
                <w:color w:val="000000"/>
              </w:rPr>
              <w:t>s</w:t>
            </w:r>
            <w:r>
              <w:rPr>
                <w:rFonts w:cs="Arial"/>
                <w:color w:val="000000"/>
              </w:rPr>
              <w:t xml:space="preserve"> each year for other program promotion, education and/or outreach, as deemed necessary by ETF.</w:t>
            </w:r>
          </w:p>
          <w:p w14:paraId="791A84B1" w14:textId="11375686" w:rsidR="007D2C86" w:rsidRPr="00317DAC" w:rsidRDefault="00A146AC">
            <w:pPr>
              <w:pStyle w:val="LRWLBodyText"/>
              <w:rPr>
                <w:rFonts w:cs="Arial"/>
                <w:color w:val="000000"/>
              </w:rPr>
            </w:pPr>
            <w:r>
              <w:t>Contractor</w:t>
            </w:r>
            <w:r w:rsidR="00A72DE5">
              <w:t xml:space="preserve"> may combine one or more of the above mailings</w:t>
            </w:r>
            <w:r w:rsidR="00502132">
              <w:t xml:space="preserve"> if </w:t>
            </w:r>
            <w:r w:rsidR="00D75231">
              <w:t xml:space="preserve">prior </w:t>
            </w:r>
            <w:r w:rsidR="00502132">
              <w:t>a</w:t>
            </w:r>
            <w:r w:rsidR="00A72DE5">
              <w:t>pprov</w:t>
            </w:r>
            <w:r w:rsidR="00D75231">
              <w:t xml:space="preserve">al is received from the </w:t>
            </w:r>
            <w:r w:rsidR="00A72DE5">
              <w:t>ETF</w:t>
            </w:r>
            <w:r w:rsidR="00D75231">
              <w:t xml:space="preserve"> Program Manager</w:t>
            </w:r>
            <w:r w:rsidR="00A72DE5">
              <w:t>.</w:t>
            </w:r>
          </w:p>
        </w:tc>
      </w:tr>
      <w:tr w:rsidR="00E03A80" w14:paraId="751B4CA8" w14:textId="77777777" w:rsidTr="0059128F">
        <w:tc>
          <w:tcPr>
            <w:tcW w:w="535" w:type="dxa"/>
          </w:tcPr>
          <w:p w14:paraId="426039AF" w14:textId="77777777" w:rsidR="00E03A80" w:rsidRDefault="00E03A80" w:rsidP="00F01E1A">
            <w:pPr>
              <w:pStyle w:val="ListParagraph"/>
              <w:numPr>
                <w:ilvl w:val="0"/>
                <w:numId w:val="22"/>
              </w:numPr>
            </w:pPr>
          </w:p>
        </w:tc>
        <w:tc>
          <w:tcPr>
            <w:tcW w:w="8815" w:type="dxa"/>
          </w:tcPr>
          <w:p w14:paraId="0091D169" w14:textId="5E7368FE" w:rsidR="00E03A80" w:rsidRPr="00F32D56" w:rsidRDefault="00E03A80" w:rsidP="00852877">
            <w:pPr>
              <w:rPr>
                <w:rFonts w:cs="Arial"/>
                <w:color w:val="000000"/>
              </w:rPr>
            </w:pPr>
            <w:r w:rsidRPr="00852877">
              <w:rPr>
                <w:rFonts w:ascii="Arial" w:hAnsi="Arial" w:cs="Arial"/>
              </w:rPr>
              <w:t xml:space="preserve">The </w:t>
            </w:r>
            <w:r w:rsidR="00A146AC">
              <w:rPr>
                <w:rFonts w:ascii="Arial" w:hAnsi="Arial" w:cs="Arial"/>
              </w:rPr>
              <w:t>Contractor</w:t>
            </w:r>
            <w:r w:rsidR="00852877">
              <w:rPr>
                <w:rFonts w:ascii="Arial" w:hAnsi="Arial" w:cs="Arial"/>
              </w:rPr>
              <w:t xml:space="preserve"> must provide </w:t>
            </w:r>
            <w:r w:rsidR="002062E3">
              <w:rPr>
                <w:rFonts w:ascii="Arial" w:hAnsi="Arial" w:cs="Arial"/>
              </w:rPr>
              <w:t xml:space="preserve">to ETF </w:t>
            </w:r>
            <w:r w:rsidR="00852877">
              <w:rPr>
                <w:rFonts w:ascii="Arial" w:hAnsi="Arial" w:cs="Arial"/>
              </w:rPr>
              <w:t>any</w:t>
            </w:r>
            <w:r w:rsidRPr="00852877">
              <w:rPr>
                <w:rFonts w:ascii="Arial" w:hAnsi="Arial" w:cs="Arial"/>
              </w:rPr>
              <w:t xml:space="preserve"> text and graphics</w:t>
            </w:r>
            <w:r w:rsidR="00852877">
              <w:rPr>
                <w:rFonts w:ascii="Arial" w:hAnsi="Arial" w:cs="Arial"/>
              </w:rPr>
              <w:t xml:space="preserve"> needed to promote the </w:t>
            </w:r>
            <w:r w:rsidR="00A146AC">
              <w:rPr>
                <w:rFonts w:ascii="Arial" w:hAnsi="Arial" w:cs="Arial"/>
              </w:rPr>
              <w:t>Contractor</w:t>
            </w:r>
            <w:r w:rsidR="00852877">
              <w:rPr>
                <w:rFonts w:ascii="Arial" w:hAnsi="Arial" w:cs="Arial"/>
              </w:rPr>
              <w:t xml:space="preserve"> in ETF</w:t>
            </w:r>
            <w:r w:rsidR="00502132">
              <w:rPr>
                <w:rFonts w:ascii="Arial" w:hAnsi="Arial" w:cs="Arial"/>
              </w:rPr>
              <w:t>’s</w:t>
            </w:r>
            <w:r w:rsidR="00852877">
              <w:rPr>
                <w:rFonts w:ascii="Arial" w:hAnsi="Arial" w:cs="Arial"/>
              </w:rPr>
              <w:t xml:space="preserve"> print and web content.</w:t>
            </w:r>
          </w:p>
        </w:tc>
      </w:tr>
      <w:tr w:rsidR="00FA62F0" w14:paraId="664531BA" w14:textId="77777777" w:rsidTr="0059128F">
        <w:tc>
          <w:tcPr>
            <w:tcW w:w="535" w:type="dxa"/>
          </w:tcPr>
          <w:p w14:paraId="6F13072F" w14:textId="77777777" w:rsidR="00FA62F0" w:rsidRDefault="00FA62F0" w:rsidP="00F01E1A">
            <w:pPr>
              <w:pStyle w:val="ListParagraph"/>
              <w:numPr>
                <w:ilvl w:val="0"/>
                <w:numId w:val="22"/>
              </w:numPr>
            </w:pPr>
          </w:p>
        </w:tc>
        <w:tc>
          <w:tcPr>
            <w:tcW w:w="8815" w:type="dxa"/>
          </w:tcPr>
          <w:p w14:paraId="48079753" w14:textId="74ACE4B1" w:rsidR="00FA62F0" w:rsidRDefault="00FA62F0" w:rsidP="00E03A80">
            <w:pPr>
              <w:rPr>
                <w:rFonts w:ascii="Arial" w:hAnsi="Arial" w:cs="Arial"/>
              </w:rPr>
            </w:pPr>
            <w:r>
              <w:rPr>
                <w:rFonts w:ascii="Arial" w:hAnsi="Arial" w:cs="Arial"/>
              </w:rPr>
              <w:t xml:space="preserve">The </w:t>
            </w:r>
            <w:r w:rsidR="00A146AC">
              <w:rPr>
                <w:rFonts w:ascii="Arial" w:hAnsi="Arial" w:cs="Arial"/>
              </w:rPr>
              <w:t>Contractor</w:t>
            </w:r>
            <w:r w:rsidRPr="00E03A80">
              <w:rPr>
                <w:rFonts w:ascii="Arial" w:hAnsi="Arial" w:cs="Arial"/>
              </w:rPr>
              <w:t xml:space="preserve"> </w:t>
            </w:r>
            <w:r>
              <w:rPr>
                <w:rFonts w:ascii="Arial" w:hAnsi="Arial" w:cs="Arial"/>
              </w:rPr>
              <w:t>must disseminate ETF</w:t>
            </w:r>
            <w:r w:rsidR="00773ECA">
              <w:rPr>
                <w:rFonts w:ascii="Arial" w:hAnsi="Arial" w:cs="Arial"/>
              </w:rPr>
              <w:t>-</w:t>
            </w:r>
            <w:r>
              <w:rPr>
                <w:rFonts w:ascii="Arial" w:hAnsi="Arial" w:cs="Arial"/>
              </w:rPr>
              <w:t xml:space="preserve">developed messages applicable to </w:t>
            </w:r>
            <w:r w:rsidR="00D75670" w:rsidRPr="00435511">
              <w:rPr>
                <w:rFonts w:ascii="Arial" w:hAnsi="Arial" w:cs="Arial"/>
              </w:rPr>
              <w:t xml:space="preserve">the </w:t>
            </w:r>
            <w:r w:rsidR="00D75670">
              <w:rPr>
                <w:rFonts w:ascii="Arial" w:hAnsi="Arial" w:cs="Arial"/>
              </w:rPr>
              <w:t xml:space="preserve">GHIP/WPE programs </w:t>
            </w:r>
            <w:r>
              <w:rPr>
                <w:rFonts w:ascii="Arial" w:hAnsi="Arial" w:cs="Arial"/>
              </w:rPr>
              <w:t>via the</w:t>
            </w:r>
            <w:r w:rsidR="002062E3">
              <w:rPr>
                <w:rFonts w:ascii="Arial" w:hAnsi="Arial" w:cs="Arial"/>
              </w:rPr>
              <w:t xml:space="preserve"> </w:t>
            </w:r>
            <w:r w:rsidR="00A146AC">
              <w:rPr>
                <w:rFonts w:ascii="Arial" w:hAnsi="Arial" w:cs="Arial"/>
              </w:rPr>
              <w:t>Contractor</w:t>
            </w:r>
            <w:r w:rsidR="002062E3">
              <w:rPr>
                <w:rFonts w:ascii="Arial" w:hAnsi="Arial" w:cs="Arial"/>
              </w:rPr>
              <w:t>’s</w:t>
            </w:r>
            <w:r>
              <w:rPr>
                <w:rFonts w:ascii="Arial" w:hAnsi="Arial" w:cs="Arial"/>
              </w:rPr>
              <w:t xml:space="preserve"> </w:t>
            </w:r>
            <w:r w:rsidR="008C379A">
              <w:rPr>
                <w:rFonts w:ascii="Arial" w:hAnsi="Arial" w:cs="Arial"/>
              </w:rPr>
              <w:t>web-portal</w:t>
            </w:r>
            <w:r>
              <w:rPr>
                <w:rFonts w:ascii="Arial" w:hAnsi="Arial" w:cs="Arial"/>
              </w:rPr>
              <w:t>.</w:t>
            </w:r>
          </w:p>
        </w:tc>
      </w:tr>
      <w:tr w:rsidR="00E03A80" w14:paraId="63E94587" w14:textId="77777777" w:rsidTr="0059128F">
        <w:tc>
          <w:tcPr>
            <w:tcW w:w="535" w:type="dxa"/>
          </w:tcPr>
          <w:p w14:paraId="756BE5AA" w14:textId="77777777" w:rsidR="00E03A80" w:rsidRDefault="00E03A80" w:rsidP="00F01E1A">
            <w:pPr>
              <w:pStyle w:val="ListParagraph"/>
              <w:numPr>
                <w:ilvl w:val="0"/>
                <w:numId w:val="22"/>
              </w:numPr>
            </w:pPr>
          </w:p>
        </w:tc>
        <w:tc>
          <w:tcPr>
            <w:tcW w:w="8815" w:type="dxa"/>
          </w:tcPr>
          <w:p w14:paraId="4756B1A1" w14:textId="255987D4" w:rsidR="009F7B08" w:rsidRPr="00A72DE5" w:rsidRDefault="00AD0703" w:rsidP="00BE40DC">
            <w:pPr>
              <w:rPr>
                <w:rFonts w:ascii="Arial" w:hAnsi="Arial" w:cs="Arial"/>
              </w:rPr>
            </w:pPr>
            <w:r>
              <w:rPr>
                <w:rFonts w:ascii="Arial" w:hAnsi="Arial" w:cs="Arial"/>
              </w:rPr>
              <w:t xml:space="preserve">The </w:t>
            </w:r>
            <w:r w:rsidR="00A146AC">
              <w:rPr>
                <w:rFonts w:ascii="Arial" w:hAnsi="Arial" w:cs="Arial"/>
              </w:rPr>
              <w:t>Contractor</w:t>
            </w:r>
            <w:r w:rsidR="00E03A80" w:rsidRPr="00E03A80">
              <w:rPr>
                <w:rFonts w:ascii="Arial" w:hAnsi="Arial" w:cs="Arial"/>
              </w:rPr>
              <w:t xml:space="preserve"> costs for developing and distributing communications to Participants or </w:t>
            </w:r>
            <w:r w:rsidR="00BE40DC">
              <w:rPr>
                <w:rFonts w:ascii="Arial" w:hAnsi="Arial" w:cs="Arial"/>
              </w:rPr>
              <w:t>Members</w:t>
            </w:r>
            <w:r w:rsidR="00E03A80" w:rsidRPr="00E03A80">
              <w:rPr>
                <w:rFonts w:ascii="Arial" w:hAnsi="Arial" w:cs="Arial"/>
              </w:rPr>
              <w:t xml:space="preserve"> in order to correct an error in previous </w:t>
            </w:r>
            <w:r w:rsidR="00A146AC">
              <w:rPr>
                <w:rFonts w:ascii="Arial" w:hAnsi="Arial" w:cs="Arial"/>
              </w:rPr>
              <w:t>Contractor</w:t>
            </w:r>
            <w:r w:rsidR="00A72DE5">
              <w:rPr>
                <w:rFonts w:ascii="Arial" w:hAnsi="Arial" w:cs="Arial"/>
              </w:rPr>
              <w:t xml:space="preserve"> </w:t>
            </w:r>
            <w:r w:rsidR="00E03A80" w:rsidRPr="00E03A80">
              <w:rPr>
                <w:rFonts w:ascii="Arial" w:hAnsi="Arial" w:cs="Arial"/>
              </w:rPr>
              <w:t>communication</w:t>
            </w:r>
            <w:r w:rsidR="00684B1D">
              <w:rPr>
                <w:rFonts w:ascii="Arial" w:hAnsi="Arial" w:cs="Arial"/>
              </w:rPr>
              <w:t>(s)</w:t>
            </w:r>
            <w:r w:rsidR="00E03A80" w:rsidRPr="00E03A80">
              <w:rPr>
                <w:rFonts w:ascii="Arial" w:hAnsi="Arial" w:cs="Arial"/>
              </w:rPr>
              <w:t xml:space="preserve"> that was the result of a </w:t>
            </w:r>
            <w:r w:rsidR="00A146AC">
              <w:rPr>
                <w:rFonts w:ascii="Arial" w:hAnsi="Arial" w:cs="Arial"/>
              </w:rPr>
              <w:t>Contractor</w:t>
            </w:r>
            <w:r w:rsidR="00E03A80" w:rsidRPr="00E03A80">
              <w:rPr>
                <w:rFonts w:ascii="Arial" w:hAnsi="Arial" w:cs="Arial"/>
              </w:rPr>
              <w:t xml:space="preserve"> error will be at the cost of the </w:t>
            </w:r>
            <w:r w:rsidR="00A146AC">
              <w:rPr>
                <w:rFonts w:ascii="Arial" w:hAnsi="Arial" w:cs="Arial"/>
              </w:rPr>
              <w:t>Contractor</w:t>
            </w:r>
            <w:r w:rsidR="00E03A80" w:rsidRPr="00E03A80">
              <w:rPr>
                <w:rFonts w:ascii="Arial" w:hAnsi="Arial" w:cs="Arial"/>
              </w:rPr>
              <w:t>.</w:t>
            </w:r>
          </w:p>
        </w:tc>
      </w:tr>
    </w:tbl>
    <w:p w14:paraId="64C0F39C" w14:textId="77777777" w:rsidR="00F57731" w:rsidRDefault="00F57731" w:rsidP="00644C74">
      <w:pPr>
        <w:pStyle w:val="Heading2"/>
        <w:ind w:hanging="1926"/>
      </w:pPr>
      <w:r>
        <w:t>Information Systems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F57731" w14:paraId="77AB1A09" w14:textId="77777777" w:rsidTr="0059128F">
        <w:tc>
          <w:tcPr>
            <w:tcW w:w="535" w:type="dxa"/>
          </w:tcPr>
          <w:p w14:paraId="594E9CB5" w14:textId="77777777" w:rsidR="00F57731" w:rsidRDefault="00F57731" w:rsidP="00F01E1A">
            <w:pPr>
              <w:pStyle w:val="ListParagraph"/>
              <w:numPr>
                <w:ilvl w:val="0"/>
                <w:numId w:val="24"/>
              </w:numPr>
            </w:pPr>
          </w:p>
        </w:tc>
        <w:tc>
          <w:tcPr>
            <w:tcW w:w="8815" w:type="dxa"/>
          </w:tcPr>
          <w:p w14:paraId="37DEC151" w14:textId="3A34E7C6" w:rsidR="00F57731" w:rsidRDefault="0061790F">
            <w:r w:rsidRPr="00BB01CC">
              <w:rPr>
                <w:rFonts w:ascii="Arial" w:hAnsi="Arial" w:cs="Arial"/>
              </w:rPr>
              <w:t xml:space="preserve">The </w:t>
            </w:r>
            <w:r w:rsidR="00A146AC">
              <w:rPr>
                <w:rFonts w:ascii="Arial" w:hAnsi="Arial" w:cs="Arial"/>
              </w:rPr>
              <w:t>Contractor</w:t>
            </w:r>
            <w:r w:rsidR="00BB01CC" w:rsidRPr="00BB01CC">
              <w:rPr>
                <w:rFonts w:ascii="Arial" w:hAnsi="Arial" w:cs="Arial"/>
              </w:rPr>
              <w:t>’s systems must</w:t>
            </w:r>
            <w:r w:rsidRPr="00BB01CC">
              <w:rPr>
                <w:rFonts w:ascii="Arial" w:hAnsi="Arial" w:cs="Arial"/>
              </w:rPr>
              <w:t xml:space="preserve"> have the capability of adapting to any future changes</w:t>
            </w:r>
            <w:r w:rsidR="00BB01CC" w:rsidRPr="00BB01CC">
              <w:rPr>
                <w:rFonts w:ascii="Arial" w:hAnsi="Arial" w:cs="Arial"/>
              </w:rPr>
              <w:t xml:space="preserve"> </w:t>
            </w:r>
            <w:r w:rsidR="002062E3">
              <w:rPr>
                <w:rFonts w:ascii="Arial" w:hAnsi="Arial" w:cs="Arial"/>
              </w:rPr>
              <w:t xml:space="preserve">that become </w:t>
            </w:r>
            <w:r w:rsidRPr="00BB01CC">
              <w:rPr>
                <w:rFonts w:ascii="Arial" w:hAnsi="Arial" w:cs="Arial"/>
              </w:rPr>
              <w:t xml:space="preserve">necessary as a result of modifications to </w:t>
            </w:r>
            <w:r w:rsidR="00BB01CC" w:rsidRPr="00BB01CC">
              <w:rPr>
                <w:rFonts w:ascii="Arial" w:hAnsi="Arial" w:cs="Arial"/>
              </w:rPr>
              <w:t xml:space="preserve">the programs offered under </w:t>
            </w:r>
            <w:r w:rsidR="00D75670" w:rsidRPr="00435511">
              <w:rPr>
                <w:rFonts w:ascii="Arial" w:hAnsi="Arial" w:cs="Arial"/>
              </w:rPr>
              <w:t xml:space="preserve">the </w:t>
            </w:r>
            <w:r w:rsidR="00D75670">
              <w:rPr>
                <w:rFonts w:ascii="Arial" w:hAnsi="Arial" w:cs="Arial"/>
              </w:rPr>
              <w:t>GHIP/WPE programs</w:t>
            </w:r>
            <w:r w:rsidR="00FD12BF">
              <w:rPr>
                <w:rFonts w:ascii="Arial" w:hAnsi="Arial" w:cs="Arial"/>
              </w:rPr>
              <w:t xml:space="preserve"> </w:t>
            </w:r>
            <w:r w:rsidRPr="00BB01CC">
              <w:rPr>
                <w:rFonts w:ascii="Arial" w:hAnsi="Arial" w:cs="Arial"/>
              </w:rPr>
              <w:t>and its requirements</w:t>
            </w:r>
            <w:r w:rsidR="00BB01CC" w:rsidRPr="00BB01CC">
              <w:rPr>
                <w:rFonts w:ascii="Arial" w:hAnsi="Arial" w:cs="Arial"/>
              </w:rPr>
              <w:t>.</w:t>
            </w:r>
            <w:r w:rsidRPr="00BB01CC">
              <w:rPr>
                <w:rFonts w:ascii="Arial" w:hAnsi="Arial" w:cs="Arial"/>
              </w:rPr>
              <w:t xml:space="preserve"> The </w:t>
            </w:r>
            <w:r w:rsidR="00A146AC">
              <w:rPr>
                <w:rFonts w:ascii="Arial" w:hAnsi="Arial" w:cs="Arial"/>
              </w:rPr>
              <w:t>Contractor</w:t>
            </w:r>
            <w:r w:rsidR="002062E3">
              <w:rPr>
                <w:rFonts w:ascii="Arial" w:hAnsi="Arial" w:cs="Arial"/>
              </w:rPr>
              <w:t xml:space="preserve">’s </w:t>
            </w:r>
            <w:r w:rsidRPr="00BB01CC">
              <w:rPr>
                <w:rFonts w:ascii="Arial" w:hAnsi="Arial" w:cs="Arial"/>
              </w:rPr>
              <w:t>systems shall be scalable</w:t>
            </w:r>
            <w:r w:rsidR="00BB01CC" w:rsidRPr="00BB01CC">
              <w:rPr>
                <w:rFonts w:ascii="Arial" w:hAnsi="Arial" w:cs="Arial"/>
              </w:rPr>
              <w:t xml:space="preserve"> </w:t>
            </w:r>
            <w:r w:rsidRPr="00BB01CC">
              <w:rPr>
                <w:rFonts w:ascii="Arial" w:hAnsi="Arial" w:cs="Arial"/>
              </w:rPr>
              <w:t>and flexible so they can be adapted as needed, within negotiated</w:t>
            </w:r>
            <w:r w:rsidR="00BB01CC" w:rsidRPr="00BB01CC">
              <w:rPr>
                <w:rFonts w:ascii="Arial" w:hAnsi="Arial" w:cs="Arial"/>
              </w:rPr>
              <w:t xml:space="preserve"> </w:t>
            </w:r>
            <w:r w:rsidRPr="00BB01CC">
              <w:rPr>
                <w:rFonts w:ascii="Arial" w:hAnsi="Arial" w:cs="Arial"/>
              </w:rPr>
              <w:t xml:space="preserve">timeframes, </w:t>
            </w:r>
            <w:r w:rsidR="00BB01CC" w:rsidRPr="00BB01CC">
              <w:rPr>
                <w:rFonts w:ascii="Arial" w:hAnsi="Arial" w:cs="Arial"/>
              </w:rPr>
              <w:t xml:space="preserve">as requirements and </w:t>
            </w:r>
            <w:r w:rsidRPr="00BB01CC">
              <w:rPr>
                <w:rFonts w:ascii="Arial" w:hAnsi="Arial" w:cs="Arial"/>
              </w:rPr>
              <w:t xml:space="preserve">enrollment </w:t>
            </w:r>
            <w:r w:rsidR="00BB01CC" w:rsidRPr="00BB01CC">
              <w:rPr>
                <w:rFonts w:ascii="Arial" w:hAnsi="Arial" w:cs="Arial"/>
              </w:rPr>
              <w:t>expands.</w:t>
            </w:r>
          </w:p>
        </w:tc>
      </w:tr>
      <w:tr w:rsidR="00526ACA" w14:paraId="6A95C5C6" w14:textId="77777777" w:rsidTr="0059128F">
        <w:tc>
          <w:tcPr>
            <w:tcW w:w="535" w:type="dxa"/>
          </w:tcPr>
          <w:p w14:paraId="73A36287" w14:textId="77777777" w:rsidR="00526ACA" w:rsidRDefault="00526ACA" w:rsidP="00F01E1A">
            <w:pPr>
              <w:pStyle w:val="ListParagraph"/>
              <w:numPr>
                <w:ilvl w:val="0"/>
                <w:numId w:val="24"/>
              </w:numPr>
            </w:pPr>
          </w:p>
        </w:tc>
        <w:tc>
          <w:tcPr>
            <w:tcW w:w="8815" w:type="dxa"/>
          </w:tcPr>
          <w:p w14:paraId="5E07C176" w14:textId="1AAC71F8" w:rsidR="00526ACA" w:rsidRPr="00BB01CC" w:rsidRDefault="00526ACA" w:rsidP="00526ACA">
            <w:pPr>
              <w:rPr>
                <w:rFonts w:ascii="Arial" w:hAnsi="Arial" w:cs="Arial"/>
              </w:rPr>
            </w:pPr>
            <w:r w:rsidRPr="0001162B">
              <w:rPr>
                <w:rFonts w:ascii="Arial" w:hAnsi="Arial" w:cs="Arial"/>
              </w:rPr>
              <w:t xml:space="preserve">If the </w:t>
            </w:r>
            <w:r w:rsidR="00A146AC">
              <w:rPr>
                <w:rFonts w:ascii="Arial" w:hAnsi="Arial" w:cs="Arial"/>
              </w:rPr>
              <w:t>Contractor</w:t>
            </w:r>
            <w:r w:rsidRPr="0001162B">
              <w:rPr>
                <w:rFonts w:ascii="Arial" w:hAnsi="Arial" w:cs="Arial"/>
              </w:rPr>
              <w:t xml:space="preserve"> has plans to migrate to a different data </w:t>
            </w:r>
            <w:r>
              <w:rPr>
                <w:rFonts w:ascii="Arial" w:hAnsi="Arial" w:cs="Arial"/>
              </w:rPr>
              <w:t xml:space="preserve">or web </w:t>
            </w:r>
            <w:r w:rsidRPr="0001162B">
              <w:rPr>
                <w:rFonts w:ascii="Arial" w:hAnsi="Arial" w:cs="Arial"/>
              </w:rPr>
              <w:t>platform, ETF must be notified no less than six (6) months in advance.</w:t>
            </w:r>
          </w:p>
        </w:tc>
      </w:tr>
      <w:tr w:rsidR="00526ACA" w14:paraId="51D8EB44" w14:textId="77777777" w:rsidTr="0059128F">
        <w:tc>
          <w:tcPr>
            <w:tcW w:w="535" w:type="dxa"/>
          </w:tcPr>
          <w:p w14:paraId="121F6B37" w14:textId="77777777" w:rsidR="00526ACA" w:rsidRDefault="00526ACA" w:rsidP="00F01E1A">
            <w:pPr>
              <w:pStyle w:val="ListParagraph"/>
              <w:numPr>
                <w:ilvl w:val="0"/>
                <w:numId w:val="24"/>
              </w:numPr>
            </w:pPr>
          </w:p>
        </w:tc>
        <w:tc>
          <w:tcPr>
            <w:tcW w:w="8815" w:type="dxa"/>
          </w:tcPr>
          <w:p w14:paraId="5A60E25D" w14:textId="76C95AB0" w:rsidR="00526ACA" w:rsidRPr="00BB01CC" w:rsidRDefault="00526ACA" w:rsidP="00526ACA">
            <w:pPr>
              <w:rPr>
                <w:rFonts w:ascii="Arial" w:hAnsi="Arial" w:cs="Arial"/>
              </w:rPr>
            </w:pPr>
            <w:r>
              <w:rPr>
                <w:rFonts w:ascii="Arial" w:hAnsi="Arial" w:cs="Arial"/>
              </w:rPr>
              <w:t xml:space="preserve">The </w:t>
            </w:r>
            <w:r w:rsidR="00A146AC">
              <w:rPr>
                <w:rFonts w:ascii="Arial" w:hAnsi="Arial" w:cs="Arial"/>
              </w:rPr>
              <w:t>Contractor</w:t>
            </w:r>
            <w:r w:rsidRPr="00B17A4D">
              <w:rPr>
                <w:rFonts w:ascii="Arial" w:hAnsi="Arial" w:cs="Arial"/>
              </w:rPr>
              <w:t xml:space="preserve"> must transmit data using secure File Transfer Protocol (FTP) or FTP over</w:t>
            </w:r>
            <w:r>
              <w:rPr>
                <w:rFonts w:ascii="Arial" w:hAnsi="Arial" w:cs="Arial"/>
              </w:rPr>
              <w:t xml:space="preserve"> a Secure Sockets Layer</w:t>
            </w:r>
            <w:r w:rsidRPr="00B17A4D">
              <w:rPr>
                <w:rFonts w:ascii="Arial" w:hAnsi="Arial" w:cs="Arial"/>
              </w:rPr>
              <w:t xml:space="preserve"> </w:t>
            </w:r>
            <w:r>
              <w:rPr>
                <w:rFonts w:ascii="Arial" w:hAnsi="Arial" w:cs="Arial"/>
              </w:rPr>
              <w:t>(</w:t>
            </w:r>
            <w:r w:rsidRPr="00B17A4D">
              <w:rPr>
                <w:rFonts w:ascii="Arial" w:hAnsi="Arial" w:cs="Arial"/>
              </w:rPr>
              <w:t>SSL</w:t>
            </w:r>
            <w:r>
              <w:rPr>
                <w:rFonts w:ascii="Arial" w:hAnsi="Arial" w:cs="Arial"/>
              </w:rPr>
              <w:t>)</w:t>
            </w:r>
            <w:r w:rsidRPr="00B17A4D">
              <w:rPr>
                <w:rFonts w:ascii="Arial" w:hAnsi="Arial" w:cs="Arial"/>
              </w:rPr>
              <w:t>. This will require software on desktops or an automated system that co</w:t>
            </w:r>
            <w:r>
              <w:rPr>
                <w:rFonts w:ascii="Arial" w:hAnsi="Arial" w:cs="Arial"/>
              </w:rPr>
              <w:t xml:space="preserve">llects files from the </w:t>
            </w:r>
            <w:r w:rsidR="00A146AC">
              <w:rPr>
                <w:rFonts w:ascii="Arial" w:hAnsi="Arial" w:cs="Arial"/>
              </w:rPr>
              <w:t>Contractor</w:t>
            </w:r>
            <w:r w:rsidRPr="00B17A4D">
              <w:rPr>
                <w:rFonts w:ascii="Arial" w:hAnsi="Arial" w:cs="Arial"/>
              </w:rPr>
              <w:t>’s repository and securely transmits data.</w:t>
            </w:r>
          </w:p>
        </w:tc>
      </w:tr>
      <w:tr w:rsidR="00526ACA" w:rsidRPr="00750568" w14:paraId="5688429B" w14:textId="77777777" w:rsidTr="0059128F">
        <w:tc>
          <w:tcPr>
            <w:tcW w:w="535" w:type="dxa"/>
          </w:tcPr>
          <w:p w14:paraId="61BD3E0C" w14:textId="77777777" w:rsidR="00526ACA" w:rsidRDefault="00526ACA" w:rsidP="00F01E1A">
            <w:pPr>
              <w:pStyle w:val="ListParagraph"/>
              <w:numPr>
                <w:ilvl w:val="0"/>
                <w:numId w:val="24"/>
              </w:numPr>
            </w:pPr>
          </w:p>
        </w:tc>
        <w:tc>
          <w:tcPr>
            <w:tcW w:w="8815" w:type="dxa"/>
          </w:tcPr>
          <w:p w14:paraId="1ED150F9" w14:textId="77777777" w:rsidR="00AF6860" w:rsidRPr="00750568" w:rsidRDefault="00526ACA" w:rsidP="00AF6860">
            <w:pPr>
              <w:rPr>
                <w:rFonts w:ascii="Arial" w:hAnsi="Arial" w:cs="Arial"/>
                <w:color w:val="000000"/>
              </w:rPr>
            </w:pPr>
            <w:r w:rsidRPr="00750568">
              <w:rPr>
                <w:rFonts w:ascii="Arial" w:hAnsi="Arial" w:cs="Arial"/>
              </w:rPr>
              <w:t xml:space="preserve">The </w:t>
            </w:r>
            <w:r w:rsidR="00A146AC" w:rsidRPr="00750568">
              <w:rPr>
                <w:rFonts w:ascii="Arial" w:hAnsi="Arial" w:cs="Arial"/>
              </w:rPr>
              <w:t>Contractor</w:t>
            </w:r>
            <w:r w:rsidRPr="00750568">
              <w:rPr>
                <w:rFonts w:ascii="Arial" w:hAnsi="Arial" w:cs="Arial"/>
              </w:rPr>
              <w:t xml:space="preserve">’s </w:t>
            </w:r>
            <w:r w:rsidR="001D3E62" w:rsidRPr="00750568">
              <w:rPr>
                <w:rFonts w:ascii="Arial" w:hAnsi="Arial" w:cs="Arial"/>
              </w:rPr>
              <w:t xml:space="preserve">data centers, </w:t>
            </w:r>
            <w:r w:rsidRPr="00750568">
              <w:rPr>
                <w:rFonts w:ascii="Arial" w:hAnsi="Arial" w:cs="Arial"/>
              </w:rPr>
              <w:t>network</w:t>
            </w:r>
            <w:r w:rsidR="001D3E62" w:rsidRPr="00750568">
              <w:rPr>
                <w:rFonts w:ascii="Arial" w:hAnsi="Arial" w:cs="Arial"/>
              </w:rPr>
              <w:t>, web-portal</w:t>
            </w:r>
            <w:r w:rsidRPr="00750568">
              <w:rPr>
                <w:rFonts w:ascii="Arial" w:hAnsi="Arial" w:cs="Arial"/>
              </w:rPr>
              <w:t xml:space="preserve"> and personal computers (PCs) must be protected by an up-to-date firewall. PCs and applications must be updated with the latest security fixes and continually maintained and up-to-date. Servers must be secured with only authorized staff allowed physical access to servers. Data must be transmitted using current industry standard secure transmission protocols which encrypt data. Data that is at rest must be encrypted using strong industry standard encryption. </w:t>
            </w:r>
            <w:r w:rsidR="00AF6860" w:rsidRPr="00750568">
              <w:rPr>
                <w:rFonts w:ascii="Arial" w:hAnsi="Arial" w:cs="Arial"/>
              </w:rPr>
              <w:t xml:space="preserve">The Contractor must have a password policy with </w:t>
            </w:r>
            <w:r w:rsidR="00AF6860" w:rsidRPr="00750568">
              <w:rPr>
                <w:rFonts w:ascii="Arial" w:hAnsi="Arial" w:cs="Arial"/>
                <w:color w:val="000000"/>
              </w:rPr>
              <w:t>a complex password scheme, which includes:</w:t>
            </w:r>
          </w:p>
          <w:p w14:paraId="5F1C23D1" w14:textId="582DEDC6" w:rsidR="00AF6860" w:rsidRPr="00750568" w:rsidRDefault="00AF6860" w:rsidP="00AF6860">
            <w:pPr>
              <w:rPr>
                <w:rFonts w:ascii="Arial" w:hAnsi="Arial" w:cs="Arial"/>
                <w:color w:val="000000"/>
              </w:rPr>
            </w:pPr>
            <w:r w:rsidRPr="00750568">
              <w:rPr>
                <w:rFonts w:ascii="Arial" w:hAnsi="Arial" w:cs="Arial"/>
                <w:color w:val="000000"/>
              </w:rPr>
              <w:t>All passwords must</w:t>
            </w:r>
            <w:r w:rsidR="004B5F57">
              <w:rPr>
                <w:rFonts w:ascii="Arial" w:hAnsi="Arial" w:cs="Arial"/>
                <w:color w:val="000000"/>
              </w:rPr>
              <w:t>,</w:t>
            </w:r>
            <w:r w:rsidRPr="00750568">
              <w:rPr>
                <w:rFonts w:ascii="Arial" w:hAnsi="Arial" w:cs="Arial"/>
                <w:color w:val="000000"/>
              </w:rPr>
              <w:t xml:space="preserve"> at a minimum</w:t>
            </w:r>
            <w:r w:rsidR="004B5F57">
              <w:rPr>
                <w:rFonts w:ascii="Arial" w:hAnsi="Arial" w:cs="Arial"/>
                <w:color w:val="000000"/>
              </w:rPr>
              <w:t>,</w:t>
            </w:r>
            <w:r w:rsidRPr="00750568">
              <w:rPr>
                <w:rFonts w:ascii="Arial" w:hAnsi="Arial" w:cs="Arial"/>
                <w:color w:val="000000"/>
              </w:rPr>
              <w:t xml:space="preserve"> meet these criteria: </w:t>
            </w:r>
          </w:p>
          <w:p w14:paraId="21C1039B" w14:textId="77777777" w:rsidR="00D46699" w:rsidRPr="00750568" w:rsidRDefault="00D46699" w:rsidP="00D46699">
            <w:pPr>
              <w:ind w:left="707" w:hanging="360"/>
              <w:rPr>
                <w:rFonts w:ascii="Arial" w:hAnsi="Arial" w:cs="Arial"/>
                <w:color w:val="000000"/>
              </w:rPr>
            </w:pPr>
            <w:r w:rsidRPr="00750568">
              <w:rPr>
                <w:rFonts w:ascii="Arial" w:hAnsi="Arial" w:cs="Arial"/>
                <w:color w:val="000000"/>
              </w:rPr>
              <w:t>1.</w:t>
            </w:r>
            <w:r w:rsidRPr="00750568">
              <w:rPr>
                <w:rFonts w:ascii="Arial" w:hAnsi="Arial" w:cs="Arial"/>
                <w:color w:val="000000"/>
              </w:rPr>
              <w:tab/>
              <w:t xml:space="preserve">A minimum of </w:t>
            </w:r>
            <w:r>
              <w:rPr>
                <w:rFonts w:ascii="Arial" w:hAnsi="Arial" w:cs="Arial"/>
                <w:color w:val="000000"/>
              </w:rPr>
              <w:t>eight (</w:t>
            </w:r>
            <w:r w:rsidRPr="00750568">
              <w:rPr>
                <w:rFonts w:ascii="Arial" w:hAnsi="Arial" w:cs="Arial"/>
                <w:color w:val="000000"/>
              </w:rPr>
              <w:t>8</w:t>
            </w:r>
            <w:r>
              <w:rPr>
                <w:rFonts w:ascii="Arial" w:hAnsi="Arial" w:cs="Arial"/>
                <w:color w:val="000000"/>
              </w:rPr>
              <w:t>)</w:t>
            </w:r>
            <w:r w:rsidRPr="00750568">
              <w:rPr>
                <w:rFonts w:ascii="Arial" w:hAnsi="Arial" w:cs="Arial"/>
                <w:color w:val="000000"/>
              </w:rPr>
              <w:t xml:space="preserve"> characters;</w:t>
            </w:r>
          </w:p>
          <w:p w14:paraId="04B40B4F" w14:textId="77777777" w:rsidR="00D46699" w:rsidRPr="00750568" w:rsidRDefault="00D46699" w:rsidP="00D46699">
            <w:pPr>
              <w:ind w:left="707" w:hanging="360"/>
              <w:rPr>
                <w:rFonts w:ascii="Arial" w:hAnsi="Arial" w:cs="Arial"/>
                <w:color w:val="000000"/>
              </w:rPr>
            </w:pPr>
            <w:r w:rsidRPr="00750568">
              <w:rPr>
                <w:rFonts w:ascii="Arial" w:hAnsi="Arial" w:cs="Arial"/>
                <w:color w:val="000000"/>
              </w:rPr>
              <w:t>2.</w:t>
            </w:r>
            <w:r w:rsidRPr="00750568">
              <w:rPr>
                <w:rFonts w:ascii="Arial" w:hAnsi="Arial" w:cs="Arial"/>
                <w:color w:val="000000"/>
              </w:rPr>
              <w:tab/>
              <w:t>Does not use the user’s name or user ID in the password;</w:t>
            </w:r>
          </w:p>
          <w:p w14:paraId="0A227972" w14:textId="77777777" w:rsidR="00D46699" w:rsidRPr="00750568" w:rsidRDefault="00D46699" w:rsidP="00D46699">
            <w:pPr>
              <w:ind w:left="707" w:hanging="360"/>
              <w:rPr>
                <w:rFonts w:ascii="Arial" w:hAnsi="Arial" w:cs="Arial"/>
                <w:color w:val="000000"/>
              </w:rPr>
            </w:pPr>
            <w:r w:rsidRPr="00750568">
              <w:rPr>
                <w:rFonts w:ascii="Arial" w:hAnsi="Arial" w:cs="Arial"/>
                <w:color w:val="000000"/>
              </w:rPr>
              <w:t>3.</w:t>
            </w:r>
            <w:r w:rsidRPr="00750568">
              <w:rPr>
                <w:rFonts w:ascii="Arial" w:hAnsi="Arial" w:cs="Arial"/>
                <w:color w:val="000000"/>
              </w:rPr>
              <w:tab/>
              <w:t xml:space="preserve">Does not repeat any of the last </w:t>
            </w:r>
            <w:r>
              <w:rPr>
                <w:rFonts w:ascii="Arial" w:hAnsi="Arial" w:cs="Arial"/>
                <w:color w:val="000000"/>
              </w:rPr>
              <w:t>twenty-four (</w:t>
            </w:r>
            <w:r w:rsidRPr="00750568">
              <w:rPr>
                <w:rFonts w:ascii="Arial" w:hAnsi="Arial" w:cs="Arial"/>
                <w:color w:val="000000"/>
              </w:rPr>
              <w:t>24</w:t>
            </w:r>
            <w:r>
              <w:rPr>
                <w:rFonts w:ascii="Arial" w:hAnsi="Arial" w:cs="Arial"/>
                <w:color w:val="000000"/>
              </w:rPr>
              <w:t>)</w:t>
            </w:r>
            <w:r w:rsidRPr="00750568">
              <w:rPr>
                <w:rFonts w:ascii="Arial" w:hAnsi="Arial" w:cs="Arial"/>
                <w:color w:val="000000"/>
              </w:rPr>
              <w:t xml:space="preserve"> passwords used;</w:t>
            </w:r>
            <w:r>
              <w:rPr>
                <w:rFonts w:ascii="Arial" w:hAnsi="Arial" w:cs="Arial"/>
                <w:color w:val="000000"/>
              </w:rPr>
              <w:t xml:space="preserve"> and,</w:t>
            </w:r>
          </w:p>
          <w:p w14:paraId="6799B02D" w14:textId="77777777" w:rsidR="00D46699" w:rsidRPr="00750568" w:rsidRDefault="00D46699" w:rsidP="00D46699">
            <w:pPr>
              <w:ind w:left="707" w:hanging="360"/>
              <w:rPr>
                <w:rFonts w:ascii="Arial" w:hAnsi="Arial" w:cs="Arial"/>
                <w:color w:val="000000"/>
              </w:rPr>
            </w:pPr>
            <w:r w:rsidRPr="00750568">
              <w:rPr>
                <w:rFonts w:ascii="Arial" w:hAnsi="Arial" w:cs="Arial"/>
                <w:color w:val="000000"/>
              </w:rPr>
              <w:t>4.</w:t>
            </w:r>
            <w:r w:rsidRPr="00750568">
              <w:rPr>
                <w:rFonts w:ascii="Arial" w:hAnsi="Arial" w:cs="Arial"/>
                <w:color w:val="000000"/>
              </w:rPr>
              <w:tab/>
              <w:t xml:space="preserve">The password must contain at least </w:t>
            </w:r>
            <w:r>
              <w:rPr>
                <w:rFonts w:ascii="Arial" w:hAnsi="Arial" w:cs="Arial"/>
                <w:color w:val="000000"/>
              </w:rPr>
              <w:t>three (</w:t>
            </w:r>
            <w:r w:rsidRPr="00750568">
              <w:rPr>
                <w:rFonts w:ascii="Arial" w:hAnsi="Arial" w:cs="Arial"/>
                <w:color w:val="000000"/>
              </w:rPr>
              <w:t>3</w:t>
            </w:r>
            <w:r>
              <w:rPr>
                <w:rFonts w:ascii="Arial" w:hAnsi="Arial" w:cs="Arial"/>
                <w:color w:val="000000"/>
              </w:rPr>
              <w:t>)</w:t>
            </w:r>
            <w:r w:rsidRPr="00750568">
              <w:rPr>
                <w:rFonts w:ascii="Arial" w:hAnsi="Arial" w:cs="Arial"/>
                <w:color w:val="000000"/>
              </w:rPr>
              <w:t xml:space="preserve"> of these </w:t>
            </w:r>
            <w:r>
              <w:rPr>
                <w:rFonts w:ascii="Arial" w:hAnsi="Arial" w:cs="Arial"/>
                <w:color w:val="000000"/>
              </w:rPr>
              <w:t>four (</w:t>
            </w:r>
            <w:r w:rsidRPr="00750568">
              <w:rPr>
                <w:rFonts w:ascii="Arial" w:hAnsi="Arial" w:cs="Arial"/>
                <w:color w:val="000000"/>
              </w:rPr>
              <w:t>4</w:t>
            </w:r>
            <w:r>
              <w:rPr>
                <w:rFonts w:ascii="Arial" w:hAnsi="Arial" w:cs="Arial"/>
                <w:color w:val="000000"/>
              </w:rPr>
              <w:t>)</w:t>
            </w:r>
            <w:r w:rsidRPr="00750568">
              <w:rPr>
                <w:rFonts w:ascii="Arial" w:hAnsi="Arial" w:cs="Arial"/>
                <w:color w:val="000000"/>
              </w:rPr>
              <w:t xml:space="preserve"> data types: Upper case, Lower case, Numeric, Special. The valid characters that can be used are:</w:t>
            </w:r>
          </w:p>
          <w:p w14:paraId="0E089D2C" w14:textId="77777777" w:rsidR="00D46699" w:rsidRPr="00750568" w:rsidRDefault="00D46699" w:rsidP="00D46699">
            <w:pPr>
              <w:ind w:left="1067" w:hanging="360"/>
              <w:rPr>
                <w:rFonts w:ascii="Arial" w:hAnsi="Arial" w:cs="Arial"/>
                <w:color w:val="000000"/>
              </w:rPr>
            </w:pPr>
            <w:r w:rsidRPr="00750568">
              <w:rPr>
                <w:rFonts w:ascii="Arial" w:hAnsi="Arial" w:cs="Arial"/>
                <w:color w:val="000000"/>
              </w:rPr>
              <w:t>a.</w:t>
            </w:r>
            <w:r w:rsidRPr="00750568">
              <w:rPr>
                <w:rFonts w:ascii="Arial" w:hAnsi="Arial" w:cs="Arial"/>
                <w:color w:val="000000"/>
              </w:rPr>
              <w:tab/>
              <w:t>Upper case alphabetic letters (A - Z)</w:t>
            </w:r>
          </w:p>
          <w:p w14:paraId="7B8246E5" w14:textId="77777777" w:rsidR="00D46699" w:rsidRPr="00750568" w:rsidRDefault="00D46699" w:rsidP="00D46699">
            <w:pPr>
              <w:ind w:left="1067" w:hanging="360"/>
              <w:rPr>
                <w:rFonts w:ascii="Arial" w:hAnsi="Arial" w:cs="Arial"/>
                <w:color w:val="000000"/>
              </w:rPr>
            </w:pPr>
            <w:r w:rsidRPr="00750568">
              <w:rPr>
                <w:rFonts w:ascii="Arial" w:hAnsi="Arial" w:cs="Arial"/>
                <w:color w:val="000000"/>
              </w:rPr>
              <w:t>b.</w:t>
            </w:r>
            <w:r w:rsidRPr="00750568">
              <w:rPr>
                <w:rFonts w:ascii="Arial" w:hAnsi="Arial" w:cs="Arial"/>
                <w:color w:val="000000"/>
              </w:rPr>
              <w:tab/>
              <w:t>Lower case alphabetic letters (a - z)</w:t>
            </w:r>
          </w:p>
          <w:p w14:paraId="4FE6BBF2" w14:textId="77777777" w:rsidR="00D46699" w:rsidRPr="00750568" w:rsidRDefault="00D46699" w:rsidP="00D46699">
            <w:pPr>
              <w:ind w:left="1067" w:hanging="360"/>
              <w:rPr>
                <w:rFonts w:ascii="Arial" w:hAnsi="Arial" w:cs="Arial"/>
                <w:color w:val="000000"/>
              </w:rPr>
            </w:pPr>
            <w:r w:rsidRPr="00750568">
              <w:rPr>
                <w:rFonts w:ascii="Arial" w:hAnsi="Arial" w:cs="Arial"/>
                <w:color w:val="000000"/>
              </w:rPr>
              <w:t>c.</w:t>
            </w:r>
            <w:r w:rsidRPr="00750568">
              <w:rPr>
                <w:rFonts w:ascii="Arial" w:hAnsi="Arial" w:cs="Arial"/>
                <w:color w:val="000000"/>
              </w:rPr>
              <w:tab/>
              <w:t>Numeric (0 - 9)</w:t>
            </w:r>
          </w:p>
          <w:p w14:paraId="61C51D63" w14:textId="77777777" w:rsidR="00D46699" w:rsidRPr="00750568" w:rsidRDefault="00D46699" w:rsidP="00D46699">
            <w:pPr>
              <w:ind w:left="1067" w:hanging="360"/>
              <w:rPr>
                <w:rFonts w:ascii="Arial" w:hAnsi="Arial" w:cs="Arial"/>
                <w:color w:val="000000"/>
              </w:rPr>
            </w:pPr>
            <w:r w:rsidRPr="00750568">
              <w:rPr>
                <w:rFonts w:ascii="Arial" w:hAnsi="Arial" w:cs="Arial"/>
                <w:color w:val="000000"/>
              </w:rPr>
              <w:t>d.</w:t>
            </w:r>
            <w:r w:rsidRPr="00750568">
              <w:rPr>
                <w:rFonts w:ascii="Arial" w:hAnsi="Arial" w:cs="Arial"/>
                <w:color w:val="000000"/>
              </w:rPr>
              <w:tab/>
              <w:t>Special characters (all special characters available on the keyboard)</w:t>
            </w:r>
          </w:p>
          <w:p w14:paraId="340247C6" w14:textId="24DAFBD8" w:rsidR="00526ACA" w:rsidRPr="00750568" w:rsidRDefault="00526ACA" w:rsidP="00526ACA">
            <w:pPr>
              <w:rPr>
                <w:rFonts w:ascii="Arial" w:hAnsi="Arial" w:cs="Arial"/>
              </w:rPr>
            </w:pPr>
            <w:r w:rsidRPr="00750568">
              <w:rPr>
                <w:rFonts w:ascii="Arial" w:hAnsi="Arial" w:cs="Arial"/>
              </w:rPr>
              <w:t xml:space="preserve">An audit program must be in place to ensure above practices are being followed. </w:t>
            </w:r>
            <w:r w:rsidR="00A146AC" w:rsidRPr="00750568">
              <w:rPr>
                <w:rFonts w:ascii="Arial" w:hAnsi="Arial" w:cs="Arial"/>
              </w:rPr>
              <w:t>Contractor</w:t>
            </w:r>
            <w:r w:rsidRPr="00750568">
              <w:rPr>
                <w:rFonts w:ascii="Arial" w:hAnsi="Arial" w:cs="Arial"/>
              </w:rPr>
              <w:t>’s staff must be trained and follow secure computing best practices. Wireless networks must be protected using strong encryption and password policies. Connectivity to all networks, wired or wireless, must be protected from unwanted/unknown connections. Any sub-contractors must agree to and abide by the network and data security requirements.</w:t>
            </w:r>
          </w:p>
        </w:tc>
      </w:tr>
      <w:tr w:rsidR="00526ACA" w14:paraId="05C5551F" w14:textId="77777777" w:rsidTr="0059128F">
        <w:tc>
          <w:tcPr>
            <w:tcW w:w="535" w:type="dxa"/>
          </w:tcPr>
          <w:p w14:paraId="19DD8D05" w14:textId="19D28673" w:rsidR="00526ACA" w:rsidRDefault="00526ACA" w:rsidP="00F01E1A">
            <w:pPr>
              <w:pStyle w:val="ListParagraph"/>
              <w:numPr>
                <w:ilvl w:val="0"/>
                <w:numId w:val="24"/>
              </w:numPr>
            </w:pPr>
          </w:p>
        </w:tc>
        <w:tc>
          <w:tcPr>
            <w:tcW w:w="8815" w:type="dxa"/>
          </w:tcPr>
          <w:p w14:paraId="6377CB76" w14:textId="7FFC5DA3" w:rsidR="00526ACA" w:rsidRPr="00BB01CC" w:rsidRDefault="00526ACA" w:rsidP="00526ACA">
            <w:pPr>
              <w:rPr>
                <w:rFonts w:ascii="Arial" w:hAnsi="Arial" w:cs="Arial"/>
              </w:rPr>
            </w:pPr>
            <w:r w:rsidRPr="00B17A4D">
              <w:rPr>
                <w:rFonts w:ascii="Arial" w:hAnsi="Arial" w:cs="Arial"/>
              </w:rPr>
              <w:t xml:space="preserve">All data backups must be handled or transmitted securely. Offsite storage must be audited for compliance (i.e. physical security, all used tapes are accounted for). A Business Recovery </w:t>
            </w:r>
            <w:r>
              <w:rPr>
                <w:rFonts w:ascii="Arial" w:hAnsi="Arial" w:cs="Arial"/>
              </w:rPr>
              <w:t>P</w:t>
            </w:r>
            <w:r w:rsidRPr="00B17A4D">
              <w:rPr>
                <w:rFonts w:ascii="Arial" w:hAnsi="Arial" w:cs="Arial"/>
              </w:rPr>
              <w:t>lan must be documented and tested annually, at a minimum</w:t>
            </w:r>
            <w:r>
              <w:rPr>
                <w:rFonts w:ascii="Arial" w:hAnsi="Arial" w:cs="Arial"/>
              </w:rPr>
              <w:t xml:space="preserve">, by the </w:t>
            </w:r>
            <w:r w:rsidR="00A146AC">
              <w:rPr>
                <w:rFonts w:ascii="Arial" w:hAnsi="Arial" w:cs="Arial"/>
              </w:rPr>
              <w:t>Contractor</w:t>
            </w:r>
            <w:r>
              <w:rPr>
                <w:rFonts w:ascii="Arial" w:hAnsi="Arial" w:cs="Arial"/>
              </w:rPr>
              <w:t>.</w:t>
            </w:r>
          </w:p>
        </w:tc>
      </w:tr>
      <w:tr w:rsidR="00526ACA" w14:paraId="3F158776" w14:textId="77777777" w:rsidTr="0059128F">
        <w:tc>
          <w:tcPr>
            <w:tcW w:w="535" w:type="dxa"/>
          </w:tcPr>
          <w:p w14:paraId="2F10B71A" w14:textId="77777777" w:rsidR="00526ACA" w:rsidRDefault="00526ACA" w:rsidP="00F01E1A">
            <w:pPr>
              <w:pStyle w:val="ListParagraph"/>
              <w:numPr>
                <w:ilvl w:val="0"/>
                <w:numId w:val="24"/>
              </w:numPr>
            </w:pPr>
          </w:p>
        </w:tc>
        <w:tc>
          <w:tcPr>
            <w:tcW w:w="8815" w:type="dxa"/>
          </w:tcPr>
          <w:p w14:paraId="2F4D2F1F" w14:textId="38BCA115" w:rsidR="00526ACA" w:rsidRPr="00B17A4D" w:rsidRDefault="00526ACA" w:rsidP="00526ACA">
            <w:pPr>
              <w:rPr>
                <w:rFonts w:ascii="Arial" w:hAnsi="Arial" w:cs="Arial"/>
              </w:rPr>
            </w:pPr>
            <w:r>
              <w:rPr>
                <w:rFonts w:ascii="Arial" w:hAnsi="Arial" w:cs="Arial"/>
              </w:rPr>
              <w:t xml:space="preserve">The </w:t>
            </w:r>
            <w:r w:rsidR="00A146AC">
              <w:rPr>
                <w:rFonts w:ascii="Arial" w:hAnsi="Arial" w:cs="Arial"/>
              </w:rPr>
              <w:t>Contractor</w:t>
            </w:r>
            <w:r>
              <w:rPr>
                <w:rFonts w:ascii="Arial" w:hAnsi="Arial" w:cs="Arial"/>
              </w:rPr>
              <w:t xml:space="preserve"> must be able to confirm that emails sent to program Participants and/or employer groups have been successfully transmitted and will track failed emails and initiate requests to be whitelisted for employer groups that may be blocking the </w:t>
            </w:r>
            <w:r w:rsidR="00A146AC">
              <w:rPr>
                <w:rFonts w:ascii="Arial" w:hAnsi="Arial" w:cs="Arial"/>
              </w:rPr>
              <w:t>Contractor</w:t>
            </w:r>
            <w:r>
              <w:rPr>
                <w:rFonts w:ascii="Arial" w:hAnsi="Arial" w:cs="Arial"/>
              </w:rPr>
              <w:t>’s email communication.</w:t>
            </w:r>
          </w:p>
        </w:tc>
      </w:tr>
      <w:tr w:rsidR="00526ACA" w14:paraId="65A2DF4E" w14:textId="77777777" w:rsidTr="0059128F">
        <w:tc>
          <w:tcPr>
            <w:tcW w:w="535" w:type="dxa"/>
          </w:tcPr>
          <w:p w14:paraId="0610357D" w14:textId="77777777" w:rsidR="00526ACA" w:rsidRDefault="00526ACA" w:rsidP="00F01E1A">
            <w:pPr>
              <w:pStyle w:val="ListParagraph"/>
              <w:numPr>
                <w:ilvl w:val="0"/>
                <w:numId w:val="24"/>
              </w:numPr>
            </w:pPr>
          </w:p>
        </w:tc>
        <w:tc>
          <w:tcPr>
            <w:tcW w:w="8815" w:type="dxa"/>
          </w:tcPr>
          <w:p w14:paraId="36E0B595" w14:textId="4C0316F4" w:rsidR="00526ACA" w:rsidRDefault="00526ACA" w:rsidP="00526ACA">
            <w:pPr>
              <w:rPr>
                <w:rFonts w:ascii="Arial" w:hAnsi="Arial" w:cs="Arial"/>
              </w:rPr>
            </w:pPr>
            <w:r w:rsidRPr="00BB01CC">
              <w:rPr>
                <w:rFonts w:ascii="Arial" w:hAnsi="Arial" w:cs="Arial"/>
              </w:rPr>
              <w:t xml:space="preserve">Upon request by ETF, the </w:t>
            </w:r>
            <w:r w:rsidR="00A146AC">
              <w:rPr>
                <w:rFonts w:ascii="Arial" w:hAnsi="Arial" w:cs="Arial"/>
              </w:rPr>
              <w:t>Contractor</w:t>
            </w:r>
            <w:r>
              <w:rPr>
                <w:rFonts w:ascii="Arial" w:hAnsi="Arial" w:cs="Arial"/>
              </w:rPr>
              <w:t xml:space="preserve"> must</w:t>
            </w:r>
            <w:r w:rsidRPr="00BB01CC">
              <w:rPr>
                <w:rFonts w:ascii="Arial" w:hAnsi="Arial" w:cs="Arial"/>
              </w:rPr>
              <w:t xml:space="preserve"> be able to generate</w:t>
            </w:r>
            <w:r>
              <w:rPr>
                <w:rFonts w:ascii="Arial" w:hAnsi="Arial" w:cs="Arial"/>
              </w:rPr>
              <w:t xml:space="preserve"> and provide</w:t>
            </w:r>
            <w:r w:rsidRPr="00BB01CC">
              <w:rPr>
                <w:rFonts w:ascii="Arial" w:hAnsi="Arial" w:cs="Arial"/>
              </w:rPr>
              <w:t xml:space="preserve"> a listing of all</w:t>
            </w:r>
            <w:r>
              <w:rPr>
                <w:rFonts w:ascii="Arial" w:hAnsi="Arial" w:cs="Arial"/>
              </w:rPr>
              <w:t xml:space="preserve"> individuals</w:t>
            </w:r>
            <w:r w:rsidRPr="00BB01CC">
              <w:rPr>
                <w:rFonts w:ascii="Arial" w:hAnsi="Arial" w:cs="Arial"/>
              </w:rPr>
              <w:t xml:space="preserve"> that were sent a particular document</w:t>
            </w:r>
            <w:r>
              <w:rPr>
                <w:rFonts w:ascii="Arial" w:hAnsi="Arial" w:cs="Arial"/>
              </w:rPr>
              <w:t xml:space="preserve"> or communication by the </w:t>
            </w:r>
            <w:r w:rsidR="00A146AC">
              <w:rPr>
                <w:rFonts w:ascii="Arial" w:hAnsi="Arial" w:cs="Arial"/>
              </w:rPr>
              <w:t>Contractor</w:t>
            </w:r>
            <w:r>
              <w:rPr>
                <w:rFonts w:ascii="Arial" w:hAnsi="Arial" w:cs="Arial"/>
              </w:rPr>
              <w:t xml:space="preserve"> or the </w:t>
            </w:r>
            <w:r w:rsidR="00A146AC">
              <w:rPr>
                <w:rFonts w:ascii="Arial" w:hAnsi="Arial" w:cs="Arial"/>
              </w:rPr>
              <w:t>Contractor</w:t>
            </w:r>
            <w:r w:rsidR="004B5F57">
              <w:rPr>
                <w:rFonts w:ascii="Arial" w:hAnsi="Arial" w:cs="Arial"/>
              </w:rPr>
              <w:t>’s S</w:t>
            </w:r>
            <w:r>
              <w:rPr>
                <w:rFonts w:ascii="Arial" w:hAnsi="Arial" w:cs="Arial"/>
              </w:rPr>
              <w:t>ubcontractor</w:t>
            </w:r>
            <w:r w:rsidRPr="00BB01CC">
              <w:rPr>
                <w:rFonts w:ascii="Arial" w:hAnsi="Arial" w:cs="Arial"/>
              </w:rPr>
              <w:t>, the date and time that the</w:t>
            </w:r>
            <w:r>
              <w:rPr>
                <w:rFonts w:ascii="Arial" w:hAnsi="Arial" w:cs="Arial"/>
              </w:rPr>
              <w:t xml:space="preserve"> </w:t>
            </w:r>
            <w:r w:rsidRPr="00BB01CC">
              <w:rPr>
                <w:rFonts w:ascii="Arial" w:hAnsi="Arial" w:cs="Arial"/>
              </w:rPr>
              <w:t>document</w:t>
            </w:r>
            <w:r>
              <w:rPr>
                <w:rFonts w:ascii="Arial" w:hAnsi="Arial" w:cs="Arial"/>
              </w:rPr>
              <w:t xml:space="preserve"> or communication</w:t>
            </w:r>
            <w:r w:rsidRPr="00BB01CC">
              <w:rPr>
                <w:rFonts w:ascii="Arial" w:hAnsi="Arial" w:cs="Arial"/>
              </w:rPr>
              <w:t xml:space="preserve"> was generated, and the date and time that it was sent to particular </w:t>
            </w:r>
            <w:r>
              <w:rPr>
                <w:rFonts w:ascii="Arial" w:hAnsi="Arial" w:cs="Arial"/>
              </w:rPr>
              <w:t>individuals.</w:t>
            </w:r>
            <w:r w:rsidRPr="00BB01CC">
              <w:rPr>
                <w:rFonts w:ascii="Arial" w:hAnsi="Arial" w:cs="Arial"/>
              </w:rPr>
              <w:t xml:space="preserve"> </w:t>
            </w:r>
          </w:p>
        </w:tc>
      </w:tr>
    </w:tbl>
    <w:p w14:paraId="7DF7E42B" w14:textId="77777777" w:rsidR="00F57731" w:rsidRDefault="00F57731" w:rsidP="00F57731">
      <w:pPr>
        <w:pStyle w:val="Heading3"/>
      </w:pPr>
      <w:r>
        <w:lastRenderedPageBreak/>
        <w:t>Data Integration and Technical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10"/>
      </w:tblGrid>
      <w:tr w:rsidR="00526ACA" w14:paraId="226D02F5" w14:textId="77777777" w:rsidTr="00D779F2">
        <w:tc>
          <w:tcPr>
            <w:tcW w:w="540" w:type="dxa"/>
          </w:tcPr>
          <w:p w14:paraId="12E2316C" w14:textId="77777777" w:rsidR="00526ACA" w:rsidRDefault="00526ACA" w:rsidP="00F01E1A">
            <w:pPr>
              <w:pStyle w:val="ListParagraph"/>
              <w:numPr>
                <w:ilvl w:val="0"/>
                <w:numId w:val="25"/>
              </w:numPr>
            </w:pPr>
          </w:p>
        </w:tc>
        <w:tc>
          <w:tcPr>
            <w:tcW w:w="8810" w:type="dxa"/>
          </w:tcPr>
          <w:p w14:paraId="0A8EC6CB" w14:textId="60A05267" w:rsidR="00526ACA" w:rsidRPr="006518F1" w:rsidRDefault="00526ACA">
            <w:pPr>
              <w:rPr>
                <w:rFonts w:ascii="Arial" w:hAnsi="Arial" w:cs="Arial"/>
              </w:rPr>
            </w:pPr>
            <w:r>
              <w:rPr>
                <w:rFonts w:ascii="Arial" w:hAnsi="Arial" w:cs="Arial"/>
              </w:rPr>
              <w:t>ETF is currently in the process of consolidating multiple legacy information technology systems to a single benefits administration system. This new system will become the system of record for eligibility and demographic information. T</w:t>
            </w:r>
            <w:r w:rsidRPr="0001162B">
              <w:rPr>
                <w:rFonts w:ascii="Arial" w:hAnsi="Arial" w:cs="Arial"/>
              </w:rPr>
              <w:t xml:space="preserve">he upgrade </w:t>
            </w:r>
            <w:r>
              <w:rPr>
                <w:rFonts w:ascii="Arial" w:hAnsi="Arial" w:cs="Arial"/>
              </w:rPr>
              <w:t xml:space="preserve">to this new system </w:t>
            </w:r>
            <w:r w:rsidRPr="0001162B">
              <w:rPr>
                <w:rFonts w:ascii="Arial" w:hAnsi="Arial" w:cs="Arial"/>
              </w:rPr>
              <w:t xml:space="preserve">may impact the formatting or data fields required for transmitting eligibility files and may also </w:t>
            </w:r>
            <w:r>
              <w:rPr>
                <w:rFonts w:ascii="Arial" w:hAnsi="Arial" w:cs="Arial"/>
              </w:rPr>
              <w:t>impact</w:t>
            </w:r>
            <w:r w:rsidRPr="0001162B">
              <w:rPr>
                <w:rFonts w:ascii="Arial" w:hAnsi="Arial" w:cs="Arial"/>
              </w:rPr>
              <w:t xml:space="preserve"> the way in which eligibility</w:t>
            </w:r>
            <w:r>
              <w:rPr>
                <w:rFonts w:ascii="Arial" w:hAnsi="Arial" w:cs="Arial"/>
              </w:rPr>
              <w:t xml:space="preserve"> data</w:t>
            </w:r>
            <w:r w:rsidRPr="0001162B">
              <w:rPr>
                <w:rFonts w:ascii="Arial" w:hAnsi="Arial" w:cs="Arial"/>
              </w:rPr>
              <w:t xml:space="preserve"> is communicated to the </w:t>
            </w:r>
            <w:r w:rsidR="00A146AC">
              <w:rPr>
                <w:rFonts w:ascii="Arial" w:hAnsi="Arial" w:cs="Arial"/>
              </w:rPr>
              <w:t>Contractor</w:t>
            </w:r>
            <w:r w:rsidRPr="0001162B">
              <w:rPr>
                <w:rFonts w:ascii="Arial" w:hAnsi="Arial" w:cs="Arial"/>
              </w:rPr>
              <w:t>.</w:t>
            </w:r>
            <w:r>
              <w:rPr>
                <w:rFonts w:ascii="Arial" w:hAnsi="Arial" w:cs="Arial"/>
              </w:rPr>
              <w:t xml:space="preserve"> The next roll-out for the new system is currently scheduled for 2018.</w:t>
            </w:r>
          </w:p>
        </w:tc>
      </w:tr>
      <w:tr w:rsidR="00F57731" w14:paraId="6F2DDEE0" w14:textId="77777777" w:rsidTr="00CB52E7">
        <w:tc>
          <w:tcPr>
            <w:tcW w:w="540" w:type="dxa"/>
          </w:tcPr>
          <w:p w14:paraId="29F93D49" w14:textId="77777777" w:rsidR="00F57731" w:rsidRDefault="00F57731" w:rsidP="00F01E1A">
            <w:pPr>
              <w:pStyle w:val="ListParagraph"/>
              <w:numPr>
                <w:ilvl w:val="0"/>
                <w:numId w:val="25"/>
              </w:numPr>
            </w:pPr>
          </w:p>
        </w:tc>
        <w:tc>
          <w:tcPr>
            <w:tcW w:w="8810" w:type="dxa"/>
          </w:tcPr>
          <w:p w14:paraId="59B0D024" w14:textId="189EBEC0" w:rsidR="00F57731" w:rsidRPr="006518F1" w:rsidRDefault="0085596A">
            <w:pPr>
              <w:rPr>
                <w:rFonts w:ascii="Arial" w:hAnsi="Arial" w:cs="Arial"/>
              </w:rPr>
            </w:pPr>
            <w:r w:rsidRPr="006518F1">
              <w:rPr>
                <w:rFonts w:ascii="Arial" w:hAnsi="Arial" w:cs="Arial"/>
              </w:rPr>
              <w:t xml:space="preserve">The </w:t>
            </w:r>
            <w:r w:rsidR="00A146AC">
              <w:rPr>
                <w:rFonts w:ascii="Arial" w:hAnsi="Arial" w:cs="Arial"/>
              </w:rPr>
              <w:t>Contractor</w:t>
            </w:r>
            <w:r w:rsidRPr="006518F1">
              <w:rPr>
                <w:rFonts w:ascii="Arial" w:hAnsi="Arial" w:cs="Arial"/>
              </w:rPr>
              <w:t xml:space="preserve"> must operate within the requirements of ETF’s </w:t>
            </w:r>
            <w:r w:rsidR="00720D9B" w:rsidRPr="00E41532">
              <w:rPr>
                <w:rFonts w:ascii="Arial" w:hAnsi="Arial" w:cs="Arial"/>
              </w:rPr>
              <w:t>m</w:t>
            </w:r>
            <w:r w:rsidRPr="00E41532">
              <w:rPr>
                <w:rFonts w:ascii="Arial" w:hAnsi="Arial" w:cs="Arial"/>
              </w:rPr>
              <w:t xml:space="preserve">ember IDs. ETF will communicate eligibility and member information using the </w:t>
            </w:r>
            <w:proofErr w:type="spellStart"/>
            <w:r w:rsidRPr="00E41532">
              <w:rPr>
                <w:rFonts w:ascii="Arial" w:hAnsi="Arial" w:cs="Arial"/>
              </w:rPr>
              <w:t>MyETF</w:t>
            </w:r>
            <w:proofErr w:type="spellEnd"/>
            <w:r w:rsidRPr="00E41532">
              <w:rPr>
                <w:rFonts w:ascii="Arial" w:hAnsi="Arial" w:cs="Arial"/>
              </w:rPr>
              <w:t xml:space="preserve"> Benefits (MEBS) 8-digit member ID, and the </w:t>
            </w:r>
            <w:r w:rsidR="00A146AC" w:rsidRPr="00E41532">
              <w:rPr>
                <w:rFonts w:ascii="Arial" w:hAnsi="Arial" w:cs="Arial"/>
              </w:rPr>
              <w:t>Contractor</w:t>
            </w:r>
            <w:r w:rsidRPr="00E41532">
              <w:rPr>
                <w:rFonts w:ascii="Arial" w:hAnsi="Arial" w:cs="Arial"/>
              </w:rPr>
              <w:t xml:space="preserve"> must develop a crosswalk if </w:t>
            </w:r>
            <w:r w:rsidR="00720D9B" w:rsidRPr="00E41532">
              <w:rPr>
                <w:rFonts w:ascii="Arial" w:hAnsi="Arial" w:cs="Arial"/>
              </w:rPr>
              <w:t xml:space="preserve">the </w:t>
            </w:r>
            <w:r w:rsidR="00A146AC" w:rsidRPr="00E41532">
              <w:rPr>
                <w:rFonts w:ascii="Arial" w:hAnsi="Arial" w:cs="Arial"/>
              </w:rPr>
              <w:t>Contractor</w:t>
            </w:r>
            <w:r w:rsidRPr="00E41532">
              <w:rPr>
                <w:rFonts w:ascii="Arial" w:hAnsi="Arial" w:cs="Arial"/>
              </w:rPr>
              <w:t xml:space="preserve"> cannot accept th</w:t>
            </w:r>
            <w:r w:rsidR="00720D9B" w:rsidRPr="00E41532">
              <w:rPr>
                <w:rFonts w:ascii="Arial" w:hAnsi="Arial" w:cs="Arial"/>
              </w:rPr>
              <w:t>ese</w:t>
            </w:r>
            <w:r w:rsidRPr="00E41532">
              <w:rPr>
                <w:rFonts w:ascii="Arial" w:hAnsi="Arial" w:cs="Arial"/>
              </w:rPr>
              <w:t xml:space="preserve"> ID</w:t>
            </w:r>
            <w:r w:rsidR="00720D9B" w:rsidRPr="00E41532">
              <w:rPr>
                <w:rFonts w:ascii="Arial" w:hAnsi="Arial" w:cs="Arial"/>
              </w:rPr>
              <w:t>’s</w:t>
            </w:r>
            <w:r w:rsidRPr="00E41532">
              <w:rPr>
                <w:rFonts w:ascii="Arial" w:hAnsi="Arial" w:cs="Arial"/>
              </w:rPr>
              <w:t xml:space="preserve"> for each member.</w:t>
            </w:r>
          </w:p>
        </w:tc>
      </w:tr>
      <w:tr w:rsidR="00F5143E" w14:paraId="1DD5CAE4" w14:textId="77777777" w:rsidTr="00CB52E7">
        <w:tc>
          <w:tcPr>
            <w:tcW w:w="540" w:type="dxa"/>
          </w:tcPr>
          <w:p w14:paraId="5DAA9D48" w14:textId="77777777" w:rsidR="00F5143E" w:rsidRDefault="00F5143E" w:rsidP="00F01E1A">
            <w:pPr>
              <w:pStyle w:val="ListParagraph"/>
              <w:numPr>
                <w:ilvl w:val="0"/>
                <w:numId w:val="25"/>
              </w:numPr>
            </w:pPr>
          </w:p>
        </w:tc>
        <w:tc>
          <w:tcPr>
            <w:tcW w:w="8810" w:type="dxa"/>
          </w:tcPr>
          <w:p w14:paraId="7560CE43" w14:textId="1D087D81" w:rsidR="00F5143E" w:rsidRDefault="00F5143E" w:rsidP="00115DE7">
            <w:pPr>
              <w:pStyle w:val="LRWLBodyText"/>
              <w:rPr>
                <w:rFonts w:cs="Arial"/>
              </w:rPr>
            </w:pPr>
            <w:r w:rsidRPr="006518F1">
              <w:rPr>
                <w:rFonts w:cs="Arial"/>
                <w:color w:val="000000"/>
              </w:rPr>
              <w:t xml:space="preserve">The </w:t>
            </w:r>
            <w:r w:rsidR="00A146AC">
              <w:rPr>
                <w:rFonts w:cs="Arial"/>
                <w:color w:val="000000"/>
              </w:rPr>
              <w:t>Contractor</w:t>
            </w:r>
            <w:r w:rsidRPr="006518F1">
              <w:rPr>
                <w:rFonts w:cs="Arial"/>
                <w:color w:val="000000"/>
              </w:rPr>
              <w:t xml:space="preserve"> must follow ETF’s secure file transfer protocols (</w:t>
            </w:r>
            <w:proofErr w:type="spellStart"/>
            <w:r w:rsidRPr="006518F1">
              <w:rPr>
                <w:rFonts w:cs="Arial"/>
                <w:color w:val="000000"/>
              </w:rPr>
              <w:t>sFTP</w:t>
            </w:r>
            <w:proofErr w:type="spellEnd"/>
            <w:r w:rsidRPr="006518F1">
              <w:rPr>
                <w:rFonts w:cs="Arial"/>
                <w:color w:val="000000"/>
              </w:rPr>
              <w:t>) using ETF’s secured FTP site to submit and retrieve files from ETF or provide another acceptable means for secure electronic exchanging of files with ETF.</w:t>
            </w:r>
          </w:p>
        </w:tc>
      </w:tr>
      <w:tr w:rsidR="0098741B" w14:paraId="67DE9454" w14:textId="77777777" w:rsidTr="00CB52E7">
        <w:tc>
          <w:tcPr>
            <w:tcW w:w="540" w:type="dxa"/>
          </w:tcPr>
          <w:p w14:paraId="3C9C2DCD" w14:textId="77777777" w:rsidR="0098741B" w:rsidRDefault="0098741B" w:rsidP="00F01E1A">
            <w:pPr>
              <w:pStyle w:val="ListParagraph"/>
              <w:numPr>
                <w:ilvl w:val="0"/>
                <w:numId w:val="25"/>
              </w:numPr>
            </w:pPr>
          </w:p>
        </w:tc>
        <w:tc>
          <w:tcPr>
            <w:tcW w:w="8810" w:type="dxa"/>
          </w:tcPr>
          <w:p w14:paraId="37BFCF12" w14:textId="69C388B7" w:rsidR="0098741B" w:rsidRDefault="00115DE7" w:rsidP="00115DE7">
            <w:pPr>
              <w:pStyle w:val="LRWLBodyText"/>
              <w:rPr>
                <w:rFonts w:cs="Arial"/>
              </w:rPr>
            </w:pPr>
            <w:r>
              <w:rPr>
                <w:rFonts w:cs="Arial"/>
              </w:rPr>
              <w:t xml:space="preserve">The </w:t>
            </w:r>
            <w:r w:rsidR="00A146AC">
              <w:rPr>
                <w:rFonts w:cs="Arial"/>
              </w:rPr>
              <w:t>Contractor</w:t>
            </w:r>
            <w:r w:rsidRPr="006518F1">
              <w:rPr>
                <w:rFonts w:cs="Arial"/>
              </w:rPr>
              <w:t>’s system</w:t>
            </w:r>
            <w:r>
              <w:rPr>
                <w:rFonts w:cs="Arial"/>
              </w:rPr>
              <w:t>(s)</w:t>
            </w:r>
            <w:r w:rsidRPr="006518F1">
              <w:rPr>
                <w:rFonts w:cs="Arial"/>
              </w:rPr>
              <w:t xml:space="preserve"> must be able to accept and accommodate a HIPAA 834 file</w:t>
            </w:r>
            <w:r>
              <w:rPr>
                <w:rFonts w:cs="Arial"/>
              </w:rPr>
              <w:t xml:space="preserve"> </w:t>
            </w:r>
            <w:r w:rsidRPr="006518F1">
              <w:rPr>
                <w:rFonts w:cs="Arial"/>
              </w:rPr>
              <w:t>transfer</w:t>
            </w:r>
            <w:r w:rsidR="00FE3F61">
              <w:rPr>
                <w:rFonts w:cs="Arial"/>
              </w:rPr>
              <w:t xml:space="preserve">. See </w:t>
            </w:r>
            <w:r w:rsidR="00FE3F61" w:rsidRPr="00FE3F61">
              <w:rPr>
                <w:rFonts w:cs="Arial"/>
              </w:rPr>
              <w:t>Appendix 5 – 834 Companion Guide</w:t>
            </w:r>
            <w:r>
              <w:rPr>
                <w:rFonts w:cs="Arial"/>
              </w:rPr>
              <w:t xml:space="preserve">. </w:t>
            </w:r>
          </w:p>
          <w:p w14:paraId="5B6C8BFD" w14:textId="53AFD312" w:rsidR="00115DE7" w:rsidRDefault="00AB0D5D" w:rsidP="00F01E1A">
            <w:pPr>
              <w:pStyle w:val="LRWLBodyText"/>
              <w:numPr>
                <w:ilvl w:val="0"/>
                <w:numId w:val="30"/>
              </w:numPr>
              <w:rPr>
                <w:rFonts w:cs="Arial"/>
              </w:rPr>
            </w:pPr>
            <w:r>
              <w:rPr>
                <w:rFonts w:cs="Arial"/>
              </w:rPr>
              <w:t xml:space="preserve">The </w:t>
            </w:r>
            <w:r w:rsidR="00A146AC">
              <w:rPr>
                <w:rFonts w:cs="Arial"/>
              </w:rPr>
              <w:t>Contractor</w:t>
            </w:r>
            <w:r w:rsidR="00115DE7">
              <w:rPr>
                <w:rFonts w:cs="Arial"/>
              </w:rPr>
              <w:t xml:space="preserve"> must accept an elig</w:t>
            </w:r>
            <w:r w:rsidR="0017107E">
              <w:rPr>
                <w:rFonts w:cs="Arial"/>
              </w:rPr>
              <w:t>ibility</w:t>
            </w:r>
            <w:r w:rsidR="00720D9B">
              <w:rPr>
                <w:rFonts w:cs="Arial"/>
              </w:rPr>
              <w:t xml:space="preserve"> file</w:t>
            </w:r>
            <w:r w:rsidR="0017107E">
              <w:rPr>
                <w:rFonts w:cs="Arial"/>
              </w:rPr>
              <w:t xml:space="preserve"> update on a daily basis and process the enrollment file additions, changes, and deletions accurately within two (2) Business Days of the file receipt. </w:t>
            </w:r>
          </w:p>
          <w:p w14:paraId="1E79D2C7" w14:textId="2DE452DA" w:rsidR="00E03F50" w:rsidRDefault="00AB0D5D" w:rsidP="00F01E1A">
            <w:pPr>
              <w:pStyle w:val="LRWLBodyText"/>
              <w:numPr>
                <w:ilvl w:val="0"/>
                <w:numId w:val="30"/>
              </w:numPr>
              <w:rPr>
                <w:rFonts w:cs="Arial"/>
              </w:rPr>
            </w:pPr>
            <w:r>
              <w:rPr>
                <w:rFonts w:cs="Arial"/>
                <w:color w:val="000000"/>
              </w:rPr>
              <w:t xml:space="preserve">The </w:t>
            </w:r>
            <w:r w:rsidR="00A146AC">
              <w:rPr>
                <w:rFonts w:cs="Arial"/>
                <w:color w:val="000000"/>
              </w:rPr>
              <w:t>Contractor</w:t>
            </w:r>
            <w:r w:rsidR="00E03F50" w:rsidRPr="006518F1">
              <w:rPr>
                <w:rFonts w:cs="Arial"/>
                <w:color w:val="000000"/>
              </w:rPr>
              <w:t xml:space="preserve"> must be able to run a </w:t>
            </w:r>
            <w:r w:rsidR="00720D9B">
              <w:rPr>
                <w:rFonts w:cs="Arial"/>
                <w:color w:val="000000"/>
              </w:rPr>
              <w:t>f</w:t>
            </w:r>
            <w:r w:rsidR="00E03F50" w:rsidRPr="006518F1">
              <w:rPr>
                <w:rFonts w:cs="Arial"/>
                <w:color w:val="000000"/>
              </w:rPr>
              <w:t xml:space="preserve">ull </w:t>
            </w:r>
            <w:r w:rsidR="00720D9B">
              <w:rPr>
                <w:rFonts w:cs="Arial"/>
                <w:color w:val="000000"/>
              </w:rPr>
              <w:t>f</w:t>
            </w:r>
            <w:r w:rsidR="00E03F50" w:rsidRPr="006518F1">
              <w:rPr>
                <w:rFonts w:cs="Arial"/>
                <w:color w:val="000000"/>
              </w:rPr>
              <w:t xml:space="preserve">ile </w:t>
            </w:r>
            <w:r w:rsidR="00720D9B">
              <w:rPr>
                <w:rFonts w:cs="Arial"/>
                <w:color w:val="000000"/>
              </w:rPr>
              <w:t>c</w:t>
            </w:r>
            <w:r w:rsidR="00E03F50" w:rsidRPr="006518F1">
              <w:rPr>
                <w:rFonts w:cs="Arial"/>
                <w:color w:val="000000"/>
              </w:rPr>
              <w:t xml:space="preserve">ompare on eligibility data to identify discrepancies in eligibility and/or demographic information and contact ETF regarding proposed resolutions for those discrepancies that the </w:t>
            </w:r>
            <w:r w:rsidR="00A146AC">
              <w:rPr>
                <w:rFonts w:cs="Arial"/>
                <w:color w:val="000000"/>
              </w:rPr>
              <w:t>Contractor</w:t>
            </w:r>
            <w:r w:rsidR="00E03F50" w:rsidRPr="006518F1">
              <w:rPr>
                <w:rFonts w:cs="Arial"/>
                <w:color w:val="000000"/>
              </w:rPr>
              <w:t xml:space="preserve"> is unable to resolve.</w:t>
            </w:r>
          </w:p>
          <w:p w14:paraId="4E95E77D" w14:textId="29DEB6B6" w:rsidR="0017107E" w:rsidRPr="00115DE7" w:rsidRDefault="00115DE7" w:rsidP="00F01E1A">
            <w:pPr>
              <w:pStyle w:val="LRWLBodyText"/>
              <w:numPr>
                <w:ilvl w:val="0"/>
                <w:numId w:val="30"/>
              </w:numPr>
              <w:rPr>
                <w:rFonts w:cs="Arial"/>
              </w:rPr>
            </w:pPr>
            <w:r w:rsidRPr="006518F1">
              <w:rPr>
                <w:rFonts w:cs="Arial"/>
                <w:color w:val="000000"/>
              </w:rPr>
              <w:t xml:space="preserve">Delays in processing the 834 file must be communicated to </w:t>
            </w:r>
            <w:r w:rsidR="00A77C71">
              <w:rPr>
                <w:rFonts w:cs="Arial"/>
                <w:color w:val="000000"/>
              </w:rPr>
              <w:t xml:space="preserve">the </w:t>
            </w:r>
            <w:r w:rsidRPr="006518F1">
              <w:rPr>
                <w:rFonts w:cs="Arial"/>
                <w:color w:val="000000"/>
              </w:rPr>
              <w:t>ETF</w:t>
            </w:r>
            <w:r w:rsidR="00A77C71">
              <w:rPr>
                <w:rFonts w:cs="Arial"/>
                <w:color w:val="000000"/>
              </w:rPr>
              <w:t xml:space="preserve"> IT contact and the ETF Program Manager</w:t>
            </w:r>
            <w:r w:rsidRPr="006518F1">
              <w:rPr>
                <w:rFonts w:cs="Arial"/>
                <w:color w:val="000000"/>
              </w:rPr>
              <w:t xml:space="preserve"> within one (1) </w:t>
            </w:r>
            <w:r w:rsidR="0017107E">
              <w:rPr>
                <w:rFonts w:cs="Arial"/>
                <w:color w:val="000000"/>
              </w:rPr>
              <w:t xml:space="preserve">Business </w:t>
            </w:r>
            <w:r w:rsidRPr="006518F1">
              <w:rPr>
                <w:rFonts w:cs="Arial"/>
                <w:color w:val="000000"/>
              </w:rPr>
              <w:t>Day.</w:t>
            </w:r>
          </w:p>
        </w:tc>
      </w:tr>
      <w:tr w:rsidR="00115DE7" w14:paraId="5654920C" w14:textId="77777777" w:rsidTr="00D779F2">
        <w:tc>
          <w:tcPr>
            <w:tcW w:w="540" w:type="dxa"/>
          </w:tcPr>
          <w:p w14:paraId="2E3027B6" w14:textId="77777777" w:rsidR="00115DE7" w:rsidRDefault="00115DE7" w:rsidP="00F01E1A">
            <w:pPr>
              <w:pStyle w:val="ListParagraph"/>
              <w:numPr>
                <w:ilvl w:val="0"/>
                <w:numId w:val="25"/>
              </w:numPr>
            </w:pPr>
          </w:p>
        </w:tc>
        <w:tc>
          <w:tcPr>
            <w:tcW w:w="8810" w:type="dxa"/>
          </w:tcPr>
          <w:p w14:paraId="679341D9" w14:textId="3E5197CB" w:rsidR="0046118D" w:rsidRDefault="0046118D" w:rsidP="0046118D">
            <w:pPr>
              <w:rPr>
                <w:rFonts w:ascii="Arial" w:hAnsi="Arial" w:cs="Arial"/>
              </w:rPr>
            </w:pPr>
            <w:r>
              <w:rPr>
                <w:rFonts w:ascii="Arial" w:hAnsi="Arial" w:cs="Arial"/>
              </w:rPr>
              <w:t xml:space="preserve">The </w:t>
            </w:r>
            <w:r w:rsidR="00A146AC">
              <w:rPr>
                <w:rFonts w:ascii="Arial" w:hAnsi="Arial" w:cs="Arial"/>
              </w:rPr>
              <w:t>Contractor</w:t>
            </w:r>
            <w:r>
              <w:rPr>
                <w:rFonts w:ascii="Arial" w:hAnsi="Arial" w:cs="Arial"/>
              </w:rPr>
              <w:t xml:space="preserve"> must establish and maintain a secure data transfer with all vendor</w:t>
            </w:r>
            <w:r w:rsidR="00CB52E7">
              <w:rPr>
                <w:rFonts w:ascii="Arial" w:hAnsi="Arial" w:cs="Arial"/>
              </w:rPr>
              <w:t>s</w:t>
            </w:r>
            <w:r>
              <w:rPr>
                <w:rFonts w:ascii="Arial" w:hAnsi="Arial" w:cs="Arial"/>
              </w:rPr>
              <w:t xml:space="preserve"> of the GHIP/WPE programs in a mutually agreed to file layout as approved by ETF, unless otherwise noted in this section. For all data transfers, the </w:t>
            </w:r>
            <w:r w:rsidR="00A146AC">
              <w:rPr>
                <w:rFonts w:ascii="Arial" w:hAnsi="Arial" w:cs="Arial"/>
              </w:rPr>
              <w:t>Contractor</w:t>
            </w:r>
            <w:r>
              <w:rPr>
                <w:rFonts w:ascii="Arial" w:hAnsi="Arial" w:cs="Arial"/>
              </w:rPr>
              <w:t xml:space="preserve"> will provide data specifications, data dictionaries, and crosswalks, except where ETF indicates it is not required.  The </w:t>
            </w:r>
            <w:r w:rsidR="00A146AC">
              <w:rPr>
                <w:rFonts w:ascii="Arial" w:hAnsi="Arial" w:cs="Arial"/>
              </w:rPr>
              <w:t>Contractor</w:t>
            </w:r>
            <w:r>
              <w:rPr>
                <w:rFonts w:ascii="Arial" w:hAnsi="Arial" w:cs="Arial"/>
              </w:rPr>
              <w:t xml:space="preserve"> data transfers include, but will not be limited to:</w:t>
            </w:r>
          </w:p>
          <w:p w14:paraId="17521A22" w14:textId="77777777" w:rsidR="0046118D" w:rsidRDefault="0046118D" w:rsidP="00F01E1A">
            <w:pPr>
              <w:pStyle w:val="LRWLBodyText"/>
              <w:numPr>
                <w:ilvl w:val="0"/>
                <w:numId w:val="47"/>
              </w:numPr>
              <w:rPr>
                <w:rFonts w:cs="Arial"/>
              </w:rPr>
            </w:pPr>
            <w:r>
              <w:rPr>
                <w:rFonts w:cs="Arial"/>
              </w:rPr>
              <w:t>Contracted health plans</w:t>
            </w:r>
            <w:r w:rsidRPr="00502132">
              <w:rPr>
                <w:rFonts w:cs="Arial"/>
              </w:rPr>
              <w:t>:</w:t>
            </w:r>
          </w:p>
          <w:p w14:paraId="43C1428C" w14:textId="7DDDAA5B" w:rsidR="0046118D" w:rsidRPr="00502132" w:rsidRDefault="0046118D" w:rsidP="0046118D">
            <w:pPr>
              <w:pStyle w:val="LRWLBodyText"/>
              <w:ind w:left="720"/>
              <w:rPr>
                <w:rFonts w:cs="Arial"/>
              </w:rPr>
            </w:pPr>
            <w:r w:rsidRPr="006601D6">
              <w:rPr>
                <w:rFonts w:cs="Arial"/>
              </w:rPr>
              <w:t xml:space="preserve">NOTE: Data sent to contracted health plans must only contain records for </w:t>
            </w:r>
            <w:r w:rsidR="00BE40DC" w:rsidRPr="006601D6">
              <w:rPr>
                <w:rFonts w:cs="Arial"/>
              </w:rPr>
              <w:t>the Member</w:t>
            </w:r>
            <w:r w:rsidR="006601D6" w:rsidRPr="006601D6">
              <w:rPr>
                <w:rFonts w:cs="Arial"/>
              </w:rPr>
              <w:t>s</w:t>
            </w:r>
            <w:r w:rsidR="00BE40DC" w:rsidRPr="006601D6">
              <w:rPr>
                <w:rFonts w:cs="Arial"/>
              </w:rPr>
              <w:t xml:space="preserve"> </w:t>
            </w:r>
            <w:r w:rsidRPr="006601D6">
              <w:rPr>
                <w:rFonts w:cs="Arial"/>
              </w:rPr>
              <w:t>enrolled in that health plan.</w:t>
            </w:r>
          </w:p>
          <w:p w14:paraId="6822D78A" w14:textId="7B0D850F" w:rsidR="0046118D" w:rsidRPr="00E03F50" w:rsidRDefault="0046118D" w:rsidP="00381711">
            <w:pPr>
              <w:pStyle w:val="LRWLBodyText"/>
              <w:numPr>
                <w:ilvl w:val="1"/>
                <w:numId w:val="47"/>
              </w:numPr>
              <w:ind w:left="1062"/>
              <w:rPr>
                <w:rFonts w:cs="Arial"/>
              </w:rPr>
            </w:pPr>
            <w:r w:rsidRPr="006518F1">
              <w:rPr>
                <w:rFonts w:cs="Arial"/>
                <w:color w:val="000000"/>
              </w:rPr>
              <w:t xml:space="preserve">Results of the biometric screening will be transmitted by </w:t>
            </w:r>
            <w:r>
              <w:rPr>
                <w:rFonts w:cs="Arial"/>
                <w:color w:val="000000"/>
              </w:rPr>
              <w:t xml:space="preserve">the </w:t>
            </w:r>
            <w:r w:rsidR="00A146AC">
              <w:rPr>
                <w:rFonts w:cs="Arial"/>
                <w:color w:val="000000"/>
              </w:rPr>
              <w:t>Contractor</w:t>
            </w:r>
            <w:r w:rsidRPr="006518F1">
              <w:rPr>
                <w:rFonts w:cs="Arial"/>
                <w:color w:val="000000"/>
              </w:rPr>
              <w:t xml:space="preserve"> weekly</w:t>
            </w:r>
            <w:r>
              <w:rPr>
                <w:rFonts w:cs="Arial"/>
                <w:color w:val="000000"/>
              </w:rPr>
              <w:t xml:space="preserve"> and follow the existing file layout.</w:t>
            </w:r>
            <w:r w:rsidRPr="006518F1">
              <w:rPr>
                <w:rFonts w:cs="Arial"/>
                <w:color w:val="000000"/>
              </w:rPr>
              <w:t xml:space="preserve"> </w:t>
            </w:r>
          </w:p>
          <w:p w14:paraId="1BB3AB71" w14:textId="05A1B663" w:rsidR="0046118D" w:rsidRPr="00396C19" w:rsidRDefault="0046118D" w:rsidP="00381711">
            <w:pPr>
              <w:pStyle w:val="LRWLBodyText"/>
              <w:numPr>
                <w:ilvl w:val="1"/>
                <w:numId w:val="47"/>
              </w:numPr>
              <w:ind w:left="1062"/>
              <w:rPr>
                <w:rFonts w:cs="Arial"/>
              </w:rPr>
            </w:pPr>
            <w:r w:rsidRPr="006518F1">
              <w:rPr>
                <w:rFonts w:cs="Arial"/>
                <w:color w:val="000000"/>
              </w:rPr>
              <w:t xml:space="preserve">Results of the </w:t>
            </w:r>
            <w:r>
              <w:rPr>
                <w:rFonts w:cs="Arial"/>
                <w:color w:val="000000"/>
              </w:rPr>
              <w:t xml:space="preserve">health risk assessment </w:t>
            </w:r>
            <w:r w:rsidRPr="006518F1">
              <w:rPr>
                <w:rFonts w:cs="Arial"/>
                <w:color w:val="000000"/>
              </w:rPr>
              <w:t xml:space="preserve">will be transmitted by </w:t>
            </w:r>
            <w:r>
              <w:rPr>
                <w:rFonts w:cs="Arial"/>
                <w:color w:val="000000"/>
              </w:rPr>
              <w:t xml:space="preserve">the </w:t>
            </w:r>
            <w:r w:rsidR="00A146AC">
              <w:rPr>
                <w:rFonts w:cs="Arial"/>
                <w:color w:val="000000"/>
              </w:rPr>
              <w:t>Contractor</w:t>
            </w:r>
            <w:r w:rsidRPr="006518F1">
              <w:rPr>
                <w:rFonts w:cs="Arial"/>
                <w:color w:val="000000"/>
              </w:rPr>
              <w:t xml:space="preserve"> weekly</w:t>
            </w:r>
            <w:r>
              <w:rPr>
                <w:rFonts w:cs="Arial"/>
                <w:color w:val="000000"/>
              </w:rPr>
              <w:t>.</w:t>
            </w:r>
            <w:r w:rsidRPr="00BC7A72">
              <w:rPr>
                <w:rFonts w:cs="Arial"/>
                <w:color w:val="000000"/>
              </w:rPr>
              <w:t xml:space="preserve"> </w:t>
            </w:r>
            <w:r>
              <w:rPr>
                <w:rFonts w:cs="Arial"/>
                <w:color w:val="000000"/>
              </w:rPr>
              <w:t xml:space="preserve">The </w:t>
            </w:r>
            <w:r w:rsidR="00A146AC">
              <w:rPr>
                <w:rFonts w:cs="Arial"/>
                <w:color w:val="000000"/>
              </w:rPr>
              <w:t>Contractor</w:t>
            </w:r>
            <w:r w:rsidRPr="00BC7A72">
              <w:rPr>
                <w:rFonts w:cs="Arial"/>
                <w:color w:val="000000"/>
              </w:rPr>
              <w:t xml:space="preserve"> must provide</w:t>
            </w:r>
            <w:r w:rsidRPr="00BC7A72">
              <w:rPr>
                <w:rFonts w:cs="Arial"/>
              </w:rPr>
              <w:t xml:space="preserve"> all nece</w:t>
            </w:r>
            <w:r>
              <w:rPr>
                <w:rFonts w:cs="Arial"/>
              </w:rPr>
              <w:t xml:space="preserve">ssary documentation to the health plans for integrating the data into the health plan system(s), including, but not limited to methodology for risk stratification. </w:t>
            </w:r>
          </w:p>
          <w:p w14:paraId="56C4CD84" w14:textId="41650C64" w:rsidR="0046118D" w:rsidRDefault="0046118D" w:rsidP="00381711">
            <w:pPr>
              <w:pStyle w:val="LRWLBodyText"/>
              <w:numPr>
                <w:ilvl w:val="1"/>
                <w:numId w:val="47"/>
              </w:numPr>
              <w:ind w:left="1062"/>
              <w:rPr>
                <w:rFonts w:cs="Arial"/>
              </w:rPr>
            </w:pPr>
            <w:r>
              <w:rPr>
                <w:rFonts w:cs="Arial"/>
              </w:rPr>
              <w:t>Unique member participation</w:t>
            </w:r>
            <w:r w:rsidRPr="00396C19">
              <w:rPr>
                <w:rFonts w:cs="Arial"/>
              </w:rPr>
              <w:t xml:space="preserve"> in wellness</w:t>
            </w:r>
            <w:r>
              <w:rPr>
                <w:rFonts w:cs="Arial"/>
              </w:rPr>
              <w:t xml:space="preserve"> health coaching sessions</w:t>
            </w:r>
            <w:r w:rsidRPr="00396C19">
              <w:rPr>
                <w:rFonts w:cs="Arial"/>
              </w:rPr>
              <w:t xml:space="preserve"> and</w:t>
            </w:r>
            <w:r>
              <w:rPr>
                <w:rFonts w:cs="Arial"/>
              </w:rPr>
              <w:t xml:space="preserve">/or disease management </w:t>
            </w:r>
            <w:r w:rsidRPr="00396C19">
              <w:rPr>
                <w:rFonts w:cs="Arial"/>
              </w:rPr>
              <w:t xml:space="preserve">programs </w:t>
            </w:r>
            <w:r>
              <w:rPr>
                <w:rFonts w:cs="Arial"/>
              </w:rPr>
              <w:t>must be identified via indic</w:t>
            </w:r>
            <w:r w:rsidR="001712C0">
              <w:rPr>
                <w:rFonts w:cs="Arial"/>
              </w:rPr>
              <w:t>a</w:t>
            </w:r>
            <w:r>
              <w:rPr>
                <w:rFonts w:cs="Arial"/>
              </w:rPr>
              <w:t>tor fields</w:t>
            </w:r>
            <w:r w:rsidR="001712C0">
              <w:rPr>
                <w:rFonts w:cs="Arial"/>
              </w:rPr>
              <w:t xml:space="preserve"> for the type of program</w:t>
            </w:r>
            <w:r>
              <w:rPr>
                <w:rFonts w:cs="Arial"/>
              </w:rPr>
              <w:t xml:space="preserve">. These indicator fields will be included with the results data </w:t>
            </w:r>
            <w:r>
              <w:rPr>
                <w:rFonts w:cs="Arial"/>
              </w:rPr>
              <w:lastRenderedPageBreak/>
              <w:t xml:space="preserve">transmitted by the </w:t>
            </w:r>
            <w:r w:rsidR="00A146AC">
              <w:rPr>
                <w:rFonts w:cs="Arial"/>
              </w:rPr>
              <w:t>Contractor</w:t>
            </w:r>
            <w:r>
              <w:rPr>
                <w:rFonts w:cs="Arial"/>
              </w:rPr>
              <w:t xml:space="preserve"> weekly. The data specifications will include indicator fields as well as the start and end dates (in a standard date format) of member participation in any of the aforementioned </w:t>
            </w:r>
            <w:r w:rsidR="001712C0">
              <w:rPr>
                <w:rFonts w:cs="Arial"/>
              </w:rPr>
              <w:t xml:space="preserve">programs. </w:t>
            </w:r>
            <w:r>
              <w:rPr>
                <w:rFonts w:cs="Arial"/>
              </w:rPr>
              <w:t xml:space="preserve">An indicator field to identify members who have been outreached or contacted by the </w:t>
            </w:r>
            <w:r w:rsidR="00A146AC">
              <w:rPr>
                <w:rFonts w:cs="Arial"/>
              </w:rPr>
              <w:t>Contractor</w:t>
            </w:r>
            <w:r>
              <w:rPr>
                <w:rFonts w:cs="Arial"/>
              </w:rPr>
              <w:t xml:space="preserve">, yet have elected/chosen not to participate in the aforementioned programs must also be included in results data transmitted by the </w:t>
            </w:r>
            <w:r w:rsidR="00A146AC">
              <w:rPr>
                <w:rFonts w:cs="Arial"/>
              </w:rPr>
              <w:t>Contractor</w:t>
            </w:r>
            <w:r>
              <w:rPr>
                <w:rFonts w:cs="Arial"/>
              </w:rPr>
              <w:t xml:space="preserve"> weekly.</w:t>
            </w:r>
          </w:p>
          <w:p w14:paraId="2BEC5961" w14:textId="77777777" w:rsidR="0046118D" w:rsidRDefault="0046118D" w:rsidP="00381711">
            <w:pPr>
              <w:pStyle w:val="LRWLBodyText"/>
              <w:numPr>
                <w:ilvl w:val="1"/>
                <w:numId w:val="47"/>
              </w:numPr>
              <w:ind w:left="1062"/>
              <w:rPr>
                <w:rFonts w:cs="Arial"/>
              </w:rPr>
            </w:pPr>
            <w:r>
              <w:rPr>
                <w:rFonts w:cs="Arial"/>
                <w:color w:val="000000"/>
              </w:rPr>
              <w:t xml:space="preserve">These </w:t>
            </w:r>
            <w:r w:rsidRPr="006518F1">
              <w:rPr>
                <w:rFonts w:cs="Arial"/>
                <w:color w:val="000000"/>
              </w:rPr>
              <w:t>transfer</w:t>
            </w:r>
            <w:r>
              <w:rPr>
                <w:rFonts w:cs="Arial"/>
                <w:color w:val="000000"/>
              </w:rPr>
              <w:t xml:space="preserve">s must be </w:t>
            </w:r>
            <w:r w:rsidRPr="006518F1">
              <w:rPr>
                <w:rFonts w:cs="Arial"/>
                <w:color w:val="000000"/>
              </w:rPr>
              <w:t xml:space="preserve">tested and fully operationally no later than </w:t>
            </w:r>
            <w:r>
              <w:rPr>
                <w:rFonts w:cs="Arial"/>
                <w:color w:val="000000"/>
              </w:rPr>
              <w:t>thirty (</w:t>
            </w:r>
            <w:r w:rsidRPr="006518F1">
              <w:rPr>
                <w:rFonts w:cs="Arial"/>
                <w:color w:val="000000"/>
              </w:rPr>
              <w:t>30</w:t>
            </w:r>
            <w:r>
              <w:rPr>
                <w:rFonts w:cs="Arial"/>
                <w:color w:val="000000"/>
              </w:rPr>
              <w:t>)</w:t>
            </w:r>
            <w:r w:rsidRPr="006518F1">
              <w:rPr>
                <w:rFonts w:cs="Arial"/>
                <w:color w:val="000000"/>
              </w:rPr>
              <w:t xml:space="preserve"> </w:t>
            </w:r>
            <w:r>
              <w:rPr>
                <w:rFonts w:cs="Arial"/>
                <w:color w:val="000000"/>
              </w:rPr>
              <w:t>D</w:t>
            </w:r>
            <w:r w:rsidRPr="006518F1">
              <w:rPr>
                <w:rFonts w:cs="Arial"/>
                <w:color w:val="000000"/>
              </w:rPr>
              <w:t>ays prior to the program year start date.</w:t>
            </w:r>
          </w:p>
          <w:p w14:paraId="252D9BAE" w14:textId="77777777" w:rsidR="0046118D" w:rsidRDefault="0046118D" w:rsidP="00F01E1A">
            <w:pPr>
              <w:pStyle w:val="LRWLBodyText"/>
              <w:numPr>
                <w:ilvl w:val="0"/>
                <w:numId w:val="47"/>
              </w:numPr>
              <w:rPr>
                <w:rFonts w:cs="Arial"/>
              </w:rPr>
            </w:pPr>
            <w:r>
              <w:rPr>
                <w:rFonts w:cs="Arial"/>
              </w:rPr>
              <w:t>Pharmacy Benefits Manager:</w:t>
            </w:r>
          </w:p>
          <w:p w14:paraId="61BA39F3" w14:textId="5C992115" w:rsidR="0046118D" w:rsidRDefault="0046118D" w:rsidP="0046118D">
            <w:pPr>
              <w:pStyle w:val="LRWLBodyText"/>
              <w:ind w:left="720"/>
              <w:rPr>
                <w:rFonts w:cs="Arial"/>
              </w:rPr>
            </w:pPr>
            <w:r>
              <w:rPr>
                <w:rFonts w:cs="Arial"/>
              </w:rPr>
              <w:t xml:space="preserve">Data sent from the Pharmacy Benefits Manager to the </w:t>
            </w:r>
            <w:r w:rsidR="00A146AC">
              <w:rPr>
                <w:rFonts w:cs="Arial"/>
              </w:rPr>
              <w:t>Contractor</w:t>
            </w:r>
            <w:r>
              <w:rPr>
                <w:rFonts w:cs="Arial"/>
              </w:rPr>
              <w:t xml:space="preserve"> will be in a standard file format available from the Pharmacy Benefits Manager. The Pharmacy Benefits Manager will provide the data specifications, data dictionary, and crosswalk.  </w:t>
            </w:r>
          </w:p>
          <w:p w14:paraId="404E1404" w14:textId="2CA8A2F6" w:rsidR="0046118D" w:rsidRDefault="0046118D" w:rsidP="00F01E1A">
            <w:pPr>
              <w:pStyle w:val="LRWLBodyText"/>
              <w:numPr>
                <w:ilvl w:val="0"/>
                <w:numId w:val="47"/>
              </w:numPr>
              <w:rPr>
                <w:rFonts w:cs="Arial"/>
              </w:rPr>
            </w:pPr>
            <w:r>
              <w:rPr>
                <w:rFonts w:cs="Arial"/>
              </w:rPr>
              <w:t xml:space="preserve">Data </w:t>
            </w:r>
            <w:r w:rsidR="001712C0">
              <w:rPr>
                <w:rFonts w:cs="Arial"/>
              </w:rPr>
              <w:t>w</w:t>
            </w:r>
            <w:r>
              <w:rPr>
                <w:rFonts w:cs="Arial"/>
              </w:rPr>
              <w:t xml:space="preserve">arehouse </w:t>
            </w:r>
            <w:r w:rsidR="001712C0">
              <w:rPr>
                <w:rFonts w:cs="Arial"/>
              </w:rPr>
              <w:t>v</w:t>
            </w:r>
            <w:r>
              <w:rPr>
                <w:rFonts w:cs="Arial"/>
              </w:rPr>
              <w:t>endor:</w:t>
            </w:r>
          </w:p>
          <w:p w14:paraId="0E62B725" w14:textId="32856091" w:rsidR="0046118D" w:rsidRDefault="0046118D" w:rsidP="0046118D">
            <w:pPr>
              <w:pStyle w:val="LRWLBodyText"/>
              <w:ind w:left="720"/>
              <w:rPr>
                <w:rFonts w:cs="Arial"/>
              </w:rPr>
            </w:pPr>
            <w:r>
              <w:rPr>
                <w:rFonts w:cs="Arial"/>
              </w:rPr>
              <w:t>Data sent to the data warehouse</w:t>
            </w:r>
            <w:r w:rsidR="00A146AC">
              <w:rPr>
                <w:rFonts w:cs="Arial"/>
              </w:rPr>
              <w:t xml:space="preserve"> by</w:t>
            </w:r>
            <w:r>
              <w:rPr>
                <w:rFonts w:cs="Arial"/>
              </w:rPr>
              <w:t xml:space="preserve"> </w:t>
            </w:r>
            <w:r w:rsidR="00A146AC">
              <w:rPr>
                <w:rFonts w:cs="Arial"/>
              </w:rPr>
              <w:t>Contractor</w:t>
            </w:r>
            <w:r>
              <w:rPr>
                <w:rFonts w:cs="Arial"/>
              </w:rPr>
              <w:t xml:space="preserve"> will include the biometric screening and health risk assessment results that are sent to contracted health plans with the addition of custom fields to track participation in the programs available through the </w:t>
            </w:r>
            <w:r w:rsidR="00A146AC">
              <w:rPr>
                <w:rFonts w:cs="Arial"/>
              </w:rPr>
              <w:t>Contractor</w:t>
            </w:r>
            <w:r>
              <w:rPr>
                <w:rFonts w:cs="Arial"/>
              </w:rPr>
              <w:t>.</w:t>
            </w:r>
          </w:p>
          <w:p w14:paraId="7C18CA2C" w14:textId="290255C8" w:rsidR="0046118D" w:rsidRDefault="0046118D" w:rsidP="0046118D">
            <w:pPr>
              <w:pStyle w:val="LRWLBodyText"/>
              <w:rPr>
                <w:rFonts w:cs="Arial"/>
              </w:rPr>
            </w:pPr>
            <w:r>
              <w:rPr>
                <w:rFonts w:cs="Arial"/>
              </w:rPr>
              <w:t xml:space="preserve">Delays in disseminating program data to vendor(s) of the </w:t>
            </w:r>
            <w:r w:rsidR="007C496D">
              <w:rPr>
                <w:rFonts w:cs="Arial"/>
              </w:rPr>
              <w:t>GHIP/WPE</w:t>
            </w:r>
            <w:r>
              <w:rPr>
                <w:rFonts w:cs="Arial"/>
              </w:rPr>
              <w:t xml:space="preserve"> P</w:t>
            </w:r>
            <w:r w:rsidRPr="00BB01CC">
              <w:rPr>
                <w:rFonts w:cs="Arial"/>
              </w:rPr>
              <w:t>rogram</w:t>
            </w:r>
            <w:r w:rsidR="007C496D">
              <w:rPr>
                <w:rFonts w:cs="Arial"/>
              </w:rPr>
              <w:t>s</w:t>
            </w:r>
            <w:r>
              <w:rPr>
                <w:rFonts w:cs="Arial"/>
              </w:rPr>
              <w:t xml:space="preserve"> must be communicated via email to the ETF IT Department and Program Manager within one (1) Day of the scheduled transfer.</w:t>
            </w:r>
          </w:p>
          <w:p w14:paraId="087046B0" w14:textId="41D66049" w:rsidR="00115DE7" w:rsidRDefault="001712C0">
            <w:pPr>
              <w:pStyle w:val="LRWLBodyText"/>
              <w:rPr>
                <w:rFonts w:cs="Arial"/>
              </w:rPr>
            </w:pPr>
            <w:r w:rsidRPr="006C054B">
              <w:rPr>
                <w:rFonts w:cs="Arial"/>
              </w:rPr>
              <w:t>F</w:t>
            </w:r>
            <w:r w:rsidRPr="00E41532">
              <w:rPr>
                <w:rFonts w:cs="Arial"/>
              </w:rPr>
              <w:t xml:space="preserve">or data transfers between vendors of the GHIP/WPE programs not specified in this RFP, the </w:t>
            </w:r>
            <w:r w:rsidR="00A146AC">
              <w:rPr>
                <w:rFonts w:cs="Arial"/>
              </w:rPr>
              <w:t>Contractor</w:t>
            </w:r>
            <w:r w:rsidRPr="00E41532">
              <w:rPr>
                <w:rFonts w:cs="Arial"/>
              </w:rPr>
              <w:t xml:space="preserve"> must establish vendor to vendor data transfers within ninety (90) Days of written notification from ETF to do so.</w:t>
            </w:r>
          </w:p>
        </w:tc>
      </w:tr>
      <w:tr w:rsidR="001216DD" w14:paraId="7C80AEF6" w14:textId="77777777" w:rsidTr="00CB52E7">
        <w:tc>
          <w:tcPr>
            <w:tcW w:w="540" w:type="dxa"/>
          </w:tcPr>
          <w:p w14:paraId="5B909FD8" w14:textId="77777777" w:rsidR="001216DD" w:rsidRDefault="001216DD" w:rsidP="00F01E1A">
            <w:pPr>
              <w:pStyle w:val="ListParagraph"/>
              <w:numPr>
                <w:ilvl w:val="0"/>
                <w:numId w:val="25"/>
              </w:numPr>
            </w:pPr>
          </w:p>
        </w:tc>
        <w:tc>
          <w:tcPr>
            <w:tcW w:w="8810" w:type="dxa"/>
          </w:tcPr>
          <w:p w14:paraId="5651002D" w14:textId="56EA0443" w:rsidR="001216DD" w:rsidRDefault="001216DD" w:rsidP="004C7EC1">
            <w:pPr>
              <w:rPr>
                <w:rFonts w:ascii="Arial" w:hAnsi="Arial" w:cs="Arial"/>
              </w:rPr>
            </w:pPr>
            <w:r>
              <w:rPr>
                <w:rFonts w:ascii="Arial" w:hAnsi="Arial" w:cs="Arial"/>
              </w:rPr>
              <w:t xml:space="preserve">The </w:t>
            </w:r>
            <w:r w:rsidR="00A146AC">
              <w:rPr>
                <w:rFonts w:ascii="Arial" w:hAnsi="Arial" w:cs="Arial"/>
              </w:rPr>
              <w:t>Contractor</w:t>
            </w:r>
            <w:r>
              <w:rPr>
                <w:rFonts w:ascii="Arial" w:hAnsi="Arial" w:cs="Arial"/>
              </w:rPr>
              <w:t xml:space="preserve"> data provide</w:t>
            </w:r>
            <w:r w:rsidR="00502132">
              <w:rPr>
                <w:rFonts w:ascii="Arial" w:hAnsi="Arial" w:cs="Arial"/>
              </w:rPr>
              <w:t>d</w:t>
            </w:r>
            <w:r>
              <w:rPr>
                <w:rFonts w:ascii="Arial" w:hAnsi="Arial" w:cs="Arial"/>
              </w:rPr>
              <w:t xml:space="preserve"> to vendor</w:t>
            </w:r>
            <w:r w:rsidR="00C55B98">
              <w:rPr>
                <w:rFonts w:ascii="Arial" w:hAnsi="Arial" w:cs="Arial"/>
              </w:rPr>
              <w:t>s</w:t>
            </w:r>
            <w:r>
              <w:rPr>
                <w:rFonts w:ascii="Arial" w:hAnsi="Arial" w:cs="Arial"/>
              </w:rPr>
              <w:t xml:space="preserve"> of </w:t>
            </w:r>
            <w:r w:rsidR="00D75670" w:rsidRPr="00435511">
              <w:rPr>
                <w:rFonts w:ascii="Arial" w:hAnsi="Arial" w:cs="Arial"/>
              </w:rPr>
              <w:t xml:space="preserve">the </w:t>
            </w:r>
            <w:r w:rsidR="00D75670">
              <w:rPr>
                <w:rFonts w:ascii="Arial" w:hAnsi="Arial" w:cs="Arial"/>
              </w:rPr>
              <w:t>GHIP/WPE programs</w:t>
            </w:r>
            <w:r w:rsidR="00720D9B">
              <w:rPr>
                <w:rFonts w:ascii="Arial" w:hAnsi="Arial" w:cs="Arial"/>
              </w:rPr>
              <w:t xml:space="preserve"> </w:t>
            </w:r>
            <w:r w:rsidR="00C55B98">
              <w:rPr>
                <w:rFonts w:ascii="Arial" w:hAnsi="Arial" w:cs="Arial"/>
              </w:rPr>
              <w:t>must be accurate</w:t>
            </w:r>
            <w:r w:rsidR="004C7EC1">
              <w:rPr>
                <w:rFonts w:ascii="Arial" w:hAnsi="Arial" w:cs="Arial"/>
              </w:rPr>
              <w:t>,</w:t>
            </w:r>
            <w:r w:rsidR="00C55B98">
              <w:rPr>
                <w:rFonts w:ascii="Arial" w:hAnsi="Arial" w:cs="Arial"/>
              </w:rPr>
              <w:t xml:space="preserve"> complete</w:t>
            </w:r>
            <w:r w:rsidR="004C7EC1">
              <w:rPr>
                <w:rFonts w:ascii="Arial" w:hAnsi="Arial" w:cs="Arial"/>
              </w:rPr>
              <w:t xml:space="preserve"> and timely</w:t>
            </w:r>
            <w:r w:rsidR="00C55B98">
              <w:rPr>
                <w:rFonts w:ascii="Arial" w:hAnsi="Arial" w:cs="Arial"/>
              </w:rPr>
              <w:t xml:space="preserve">. The </w:t>
            </w:r>
            <w:r w:rsidR="00A146AC">
              <w:rPr>
                <w:rFonts w:ascii="Arial" w:hAnsi="Arial" w:cs="Arial"/>
              </w:rPr>
              <w:t>Contractor</w:t>
            </w:r>
            <w:r w:rsidR="00C55B98">
              <w:rPr>
                <w:rFonts w:ascii="Arial" w:hAnsi="Arial" w:cs="Arial"/>
              </w:rPr>
              <w:t xml:space="preserve"> must not place restrictions on the use of the data provided</w:t>
            </w:r>
            <w:r w:rsidR="00720D9B">
              <w:rPr>
                <w:rFonts w:ascii="Arial" w:hAnsi="Arial" w:cs="Arial"/>
              </w:rPr>
              <w:t xml:space="preserve"> to the </w:t>
            </w:r>
            <w:r w:rsidR="00D75670">
              <w:rPr>
                <w:rFonts w:ascii="Arial" w:hAnsi="Arial" w:cs="Arial"/>
              </w:rPr>
              <w:t>GHIP/WPE program</w:t>
            </w:r>
            <w:r w:rsidR="00E41532">
              <w:rPr>
                <w:rFonts w:ascii="Arial" w:hAnsi="Arial" w:cs="Arial"/>
              </w:rPr>
              <w:t xml:space="preserve"> </w:t>
            </w:r>
            <w:r w:rsidR="00720D9B">
              <w:rPr>
                <w:rFonts w:ascii="Arial" w:hAnsi="Arial" w:cs="Arial"/>
              </w:rPr>
              <w:t>vendors.</w:t>
            </w:r>
          </w:p>
        </w:tc>
      </w:tr>
      <w:tr w:rsidR="0046118D" w14:paraId="557ACB16" w14:textId="77777777" w:rsidTr="00CB52E7">
        <w:tc>
          <w:tcPr>
            <w:tcW w:w="540" w:type="dxa"/>
          </w:tcPr>
          <w:p w14:paraId="2D687D99" w14:textId="77777777" w:rsidR="0046118D" w:rsidRPr="006518F1" w:rsidRDefault="0046118D" w:rsidP="00F01E1A">
            <w:pPr>
              <w:pStyle w:val="ListParagraph"/>
              <w:numPr>
                <w:ilvl w:val="0"/>
                <w:numId w:val="25"/>
              </w:numPr>
              <w:rPr>
                <w:rFonts w:cs="Arial"/>
              </w:rPr>
            </w:pPr>
          </w:p>
        </w:tc>
        <w:tc>
          <w:tcPr>
            <w:tcW w:w="8810" w:type="dxa"/>
          </w:tcPr>
          <w:p w14:paraId="1CA733CC" w14:textId="6AB253AE" w:rsidR="0046118D" w:rsidRPr="006518F1" w:rsidRDefault="0046118D" w:rsidP="0046118D">
            <w:pPr>
              <w:rPr>
                <w:rFonts w:ascii="Arial" w:hAnsi="Arial" w:cs="Arial"/>
                <w:color w:val="000000"/>
              </w:rPr>
            </w:pPr>
            <w:r>
              <w:rPr>
                <w:rFonts w:ascii="Arial" w:hAnsi="Arial" w:cs="Arial"/>
              </w:rPr>
              <w:t xml:space="preserve">The </w:t>
            </w:r>
            <w:r w:rsidR="00A146AC">
              <w:rPr>
                <w:rFonts w:ascii="Arial" w:hAnsi="Arial" w:cs="Arial"/>
              </w:rPr>
              <w:t>Contractor</w:t>
            </w:r>
            <w:r>
              <w:rPr>
                <w:rFonts w:ascii="Arial" w:hAnsi="Arial" w:cs="Arial"/>
              </w:rPr>
              <w:t xml:space="preserve"> will incorporate existing biometric screening data from the programs into the Participant’s program profile available in the web-portal</w:t>
            </w:r>
            <w:r w:rsidR="002D08A3">
              <w:rPr>
                <w:rFonts w:ascii="Arial" w:hAnsi="Arial" w:cs="Arial"/>
              </w:rPr>
              <w:t xml:space="preserve"> within ten (10) Days of the screening date</w:t>
            </w:r>
            <w:r>
              <w:rPr>
                <w:rFonts w:ascii="Arial" w:hAnsi="Arial" w:cs="Arial"/>
              </w:rPr>
              <w:t xml:space="preserve">. </w:t>
            </w:r>
          </w:p>
        </w:tc>
      </w:tr>
      <w:tr w:rsidR="007D2C86" w14:paraId="3A81126B" w14:textId="77777777" w:rsidTr="00CB52E7">
        <w:tc>
          <w:tcPr>
            <w:tcW w:w="540" w:type="dxa"/>
          </w:tcPr>
          <w:p w14:paraId="3C706D1B" w14:textId="77777777" w:rsidR="007D2C86" w:rsidRPr="006518F1" w:rsidRDefault="007D2C86" w:rsidP="00F01E1A">
            <w:pPr>
              <w:pStyle w:val="ListParagraph"/>
              <w:numPr>
                <w:ilvl w:val="0"/>
                <w:numId w:val="25"/>
              </w:numPr>
              <w:rPr>
                <w:rFonts w:cs="Arial"/>
              </w:rPr>
            </w:pPr>
          </w:p>
        </w:tc>
        <w:tc>
          <w:tcPr>
            <w:tcW w:w="8810" w:type="dxa"/>
            <w:vAlign w:val="bottom"/>
          </w:tcPr>
          <w:p w14:paraId="401681DF" w14:textId="59535A4A" w:rsidR="007D2C86" w:rsidRPr="006518F1" w:rsidRDefault="007D2C86" w:rsidP="007D2C86">
            <w:pPr>
              <w:rPr>
                <w:rFonts w:ascii="Arial" w:hAnsi="Arial" w:cs="Arial"/>
              </w:rPr>
            </w:pPr>
            <w:r w:rsidRPr="006518F1">
              <w:rPr>
                <w:rFonts w:ascii="Arial" w:hAnsi="Arial" w:cs="Arial"/>
                <w:color w:val="000000"/>
              </w:rPr>
              <w:t>No data released directly to ETF or developed for ETF distribution to employer groups will contain individual health information. Health information provided to ETF or employer groups will only be aggregate in nature.</w:t>
            </w:r>
          </w:p>
        </w:tc>
      </w:tr>
    </w:tbl>
    <w:p w14:paraId="7C48DD2F" w14:textId="4DC4BA8C" w:rsidR="00F57731" w:rsidRDefault="00F57731" w:rsidP="00644C74">
      <w:pPr>
        <w:pStyle w:val="Heading2"/>
        <w:ind w:hanging="1926"/>
      </w:pPr>
      <w:r>
        <w:t xml:space="preserve">Reporting </w:t>
      </w:r>
      <w:r w:rsidR="00DD0022">
        <w:t>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F57731" w14:paraId="6A660133" w14:textId="77777777" w:rsidTr="0059128F">
        <w:tc>
          <w:tcPr>
            <w:tcW w:w="535" w:type="dxa"/>
          </w:tcPr>
          <w:p w14:paraId="125A4824" w14:textId="77777777" w:rsidR="00F57731" w:rsidRDefault="00F57731" w:rsidP="00F01E1A">
            <w:pPr>
              <w:pStyle w:val="ListParagraph"/>
              <w:numPr>
                <w:ilvl w:val="0"/>
                <w:numId w:val="26"/>
              </w:numPr>
            </w:pPr>
          </w:p>
        </w:tc>
        <w:tc>
          <w:tcPr>
            <w:tcW w:w="8815" w:type="dxa"/>
          </w:tcPr>
          <w:p w14:paraId="1D1DAA90" w14:textId="4FA317B1" w:rsidR="00DD0022" w:rsidRDefault="00DD0022" w:rsidP="00DD0022">
            <w:pPr>
              <w:pStyle w:val="LRWLBodyText"/>
              <w:rPr>
                <w:rFonts w:cs="Arial"/>
                <w:color w:val="000000"/>
              </w:rPr>
            </w:pPr>
            <w:r w:rsidRPr="00DD0022">
              <w:rPr>
                <w:rFonts w:cs="Arial"/>
                <w:color w:val="000000"/>
              </w:rPr>
              <w:t xml:space="preserve">The </w:t>
            </w:r>
            <w:r w:rsidR="00A146AC">
              <w:rPr>
                <w:rFonts w:cs="Arial"/>
                <w:color w:val="000000"/>
              </w:rPr>
              <w:t>Contractor</w:t>
            </w:r>
            <w:r>
              <w:rPr>
                <w:rFonts w:cs="Arial"/>
                <w:color w:val="000000"/>
              </w:rPr>
              <w:t xml:space="preserve"> must</w:t>
            </w:r>
            <w:r w:rsidRPr="00DD0022">
              <w:rPr>
                <w:rFonts w:cs="Arial"/>
                <w:color w:val="000000"/>
              </w:rPr>
              <w:t xml:space="preserve"> submit reports in a mutually agreeable electronic format (e.g.,</w:t>
            </w:r>
            <w:r>
              <w:rPr>
                <w:rFonts w:cs="Arial"/>
                <w:color w:val="000000"/>
              </w:rPr>
              <w:t xml:space="preserve"> </w:t>
            </w:r>
            <w:r w:rsidRPr="00DD0022">
              <w:rPr>
                <w:rFonts w:cs="Arial"/>
                <w:color w:val="000000"/>
              </w:rPr>
              <w:t>Microsoft Word</w:t>
            </w:r>
            <w:r>
              <w:rPr>
                <w:rFonts w:cs="Arial"/>
                <w:color w:val="000000"/>
              </w:rPr>
              <w:t>,</w:t>
            </w:r>
            <w:r w:rsidRPr="00DD0022">
              <w:rPr>
                <w:rFonts w:cs="Arial"/>
                <w:color w:val="000000"/>
              </w:rPr>
              <w:t xml:space="preserve"> Microsoft Excel</w:t>
            </w:r>
            <w:r>
              <w:rPr>
                <w:rFonts w:cs="Arial"/>
                <w:color w:val="000000"/>
              </w:rPr>
              <w:t>, PDF</w:t>
            </w:r>
            <w:r w:rsidRPr="00DD0022">
              <w:rPr>
                <w:rFonts w:cs="Arial"/>
                <w:color w:val="000000"/>
              </w:rPr>
              <w:t>), of the type, at the frequency, and containing the</w:t>
            </w:r>
            <w:r>
              <w:rPr>
                <w:rFonts w:cs="Arial"/>
                <w:color w:val="000000"/>
              </w:rPr>
              <w:t xml:space="preserve"> </w:t>
            </w:r>
            <w:r w:rsidRPr="00DD0022">
              <w:rPr>
                <w:rFonts w:cs="Arial"/>
                <w:color w:val="000000"/>
              </w:rPr>
              <w:t xml:space="preserve">detail described in </w:t>
            </w:r>
            <w:r w:rsidR="003A4BE4">
              <w:rPr>
                <w:rFonts w:cs="Arial"/>
                <w:color w:val="000000"/>
              </w:rPr>
              <w:t xml:space="preserve">Appendix </w:t>
            </w:r>
            <w:r w:rsidR="00625D85">
              <w:rPr>
                <w:rFonts w:cs="Arial"/>
                <w:color w:val="000000"/>
              </w:rPr>
              <w:t>6</w:t>
            </w:r>
            <w:r w:rsidR="003A4BE4">
              <w:rPr>
                <w:rFonts w:cs="Arial"/>
                <w:color w:val="000000"/>
              </w:rPr>
              <w:t xml:space="preserve"> </w:t>
            </w:r>
            <w:r w:rsidR="001C3ACE">
              <w:rPr>
                <w:rFonts w:cs="Arial"/>
                <w:color w:val="000000"/>
              </w:rPr>
              <w:t>Reporting Requirements</w:t>
            </w:r>
            <w:r w:rsidRPr="00DD0022">
              <w:rPr>
                <w:rFonts w:cs="Arial"/>
                <w:color w:val="000000"/>
              </w:rPr>
              <w:t>. Reporting shall continue for the twelve (12)</w:t>
            </w:r>
            <w:r>
              <w:rPr>
                <w:rFonts w:cs="Arial"/>
                <w:color w:val="000000"/>
              </w:rPr>
              <w:t xml:space="preserve"> </w:t>
            </w:r>
            <w:r w:rsidRPr="00DD0022">
              <w:rPr>
                <w:rFonts w:cs="Arial"/>
                <w:color w:val="000000"/>
              </w:rPr>
              <w:t xml:space="preserve">month period following termination of </w:t>
            </w:r>
            <w:r w:rsidR="000C20A9">
              <w:rPr>
                <w:rFonts w:cs="Arial"/>
                <w:color w:val="000000"/>
              </w:rPr>
              <w:t>the</w:t>
            </w:r>
            <w:r w:rsidR="000C20A9" w:rsidRPr="00DD0022">
              <w:rPr>
                <w:rFonts w:cs="Arial"/>
                <w:color w:val="000000"/>
              </w:rPr>
              <w:t xml:space="preserve"> </w:t>
            </w:r>
            <w:r w:rsidRPr="00DD0022">
              <w:rPr>
                <w:rFonts w:cs="Arial"/>
                <w:color w:val="000000"/>
              </w:rPr>
              <w:t>Contract, if applicable.</w:t>
            </w:r>
          </w:p>
          <w:p w14:paraId="711385C9" w14:textId="3ED0BC7D" w:rsidR="00F57731" w:rsidRPr="001216DD" w:rsidRDefault="00F57731" w:rsidP="001216DD">
            <w:pPr>
              <w:pStyle w:val="LRWLBodyText"/>
              <w:rPr>
                <w:rFonts w:cs="Arial"/>
              </w:rPr>
            </w:pPr>
            <w:r w:rsidRPr="001216DD">
              <w:rPr>
                <w:rFonts w:cs="Arial"/>
                <w:color w:val="000000"/>
              </w:rPr>
              <w:t xml:space="preserve">Any report containing health information of a program Participant will only be reported to ETF in aggregate form, when participation rates for the subcategory are high enough to </w:t>
            </w:r>
            <w:r w:rsidRPr="001216DD">
              <w:rPr>
                <w:rFonts w:cs="Arial"/>
                <w:color w:val="000000"/>
              </w:rPr>
              <w:lastRenderedPageBreak/>
              <w:t xml:space="preserve">maintain confidentiality of the Participant. </w:t>
            </w:r>
            <w:r w:rsidR="00AB0D5D">
              <w:rPr>
                <w:rFonts w:cs="Arial"/>
                <w:color w:val="000000"/>
              </w:rPr>
              <w:t xml:space="preserve">The </w:t>
            </w:r>
            <w:r w:rsidR="00A146AC">
              <w:rPr>
                <w:rFonts w:cs="Arial"/>
                <w:color w:val="000000"/>
              </w:rPr>
              <w:t>Contractor</w:t>
            </w:r>
            <w:r w:rsidRPr="001216DD">
              <w:rPr>
                <w:rFonts w:cs="Arial"/>
                <w:color w:val="000000"/>
              </w:rPr>
              <w:t xml:space="preserve"> </w:t>
            </w:r>
            <w:r w:rsidRPr="001216DD">
              <w:rPr>
                <w:rFonts w:cs="Arial"/>
              </w:rPr>
              <w:t>must be able to provide all report data</w:t>
            </w:r>
            <w:r w:rsidR="001216DD">
              <w:rPr>
                <w:rFonts w:cs="Arial"/>
              </w:rPr>
              <w:t>, as requested by ETF,</w:t>
            </w:r>
            <w:r w:rsidRPr="001216DD">
              <w:rPr>
                <w:rFonts w:cs="Arial"/>
              </w:rPr>
              <w:t xml:space="preserve"> </w:t>
            </w:r>
            <w:r w:rsidR="00C97251">
              <w:rPr>
                <w:rFonts w:cs="Arial"/>
              </w:rPr>
              <w:t xml:space="preserve">for the entire population and </w:t>
            </w:r>
            <w:r w:rsidRPr="001216DD">
              <w:rPr>
                <w:rFonts w:cs="Arial"/>
              </w:rPr>
              <w:t>for the following breakdowns:</w:t>
            </w:r>
          </w:p>
          <w:p w14:paraId="15005D45" w14:textId="13773DDF" w:rsidR="00F57731" w:rsidRPr="005D0014" w:rsidRDefault="00F57731" w:rsidP="00F01E1A">
            <w:pPr>
              <w:pStyle w:val="LRWLBodyText"/>
              <w:numPr>
                <w:ilvl w:val="0"/>
                <w:numId w:val="31"/>
              </w:numPr>
              <w:rPr>
                <w:rFonts w:cs="Arial"/>
                <w:color w:val="000000"/>
              </w:rPr>
            </w:pPr>
            <w:r w:rsidRPr="001216DD">
              <w:rPr>
                <w:rFonts w:cs="Arial"/>
              </w:rPr>
              <w:t xml:space="preserve">Employer </w:t>
            </w:r>
            <w:r w:rsidR="00352022">
              <w:rPr>
                <w:rFonts w:cs="Arial"/>
              </w:rPr>
              <w:t>g</w:t>
            </w:r>
            <w:r w:rsidRPr="001216DD">
              <w:rPr>
                <w:rFonts w:cs="Arial"/>
              </w:rPr>
              <w:t xml:space="preserve">roup, </w:t>
            </w:r>
            <w:r w:rsidR="00352022">
              <w:rPr>
                <w:rFonts w:cs="Arial"/>
              </w:rPr>
              <w:t>b</w:t>
            </w:r>
            <w:r w:rsidRPr="001216DD">
              <w:rPr>
                <w:rFonts w:cs="Arial"/>
              </w:rPr>
              <w:t>usin</w:t>
            </w:r>
            <w:r w:rsidRPr="005D0014">
              <w:rPr>
                <w:rFonts w:cs="Arial"/>
                <w:color w:val="000000"/>
              </w:rPr>
              <w:t xml:space="preserve">ess </w:t>
            </w:r>
            <w:r w:rsidR="00352022" w:rsidRPr="005D0014">
              <w:rPr>
                <w:rFonts w:cs="Arial"/>
                <w:color w:val="000000"/>
              </w:rPr>
              <w:t>u</w:t>
            </w:r>
            <w:r w:rsidRPr="005D0014">
              <w:rPr>
                <w:rFonts w:cs="Arial"/>
                <w:color w:val="000000"/>
              </w:rPr>
              <w:t xml:space="preserve">nit and </w:t>
            </w:r>
            <w:r w:rsidR="00352022" w:rsidRPr="005D0014">
              <w:rPr>
                <w:rFonts w:cs="Arial"/>
                <w:color w:val="000000"/>
              </w:rPr>
              <w:t>l</w:t>
            </w:r>
            <w:r w:rsidRPr="005D0014">
              <w:rPr>
                <w:rFonts w:cs="Arial"/>
                <w:color w:val="000000"/>
              </w:rPr>
              <w:t>ocation</w:t>
            </w:r>
            <w:r w:rsidR="00352022" w:rsidRPr="005D0014">
              <w:rPr>
                <w:rFonts w:cs="Arial"/>
                <w:color w:val="000000"/>
              </w:rPr>
              <w:t>;</w:t>
            </w:r>
            <w:r w:rsidRPr="005D0014">
              <w:rPr>
                <w:rFonts w:cs="Arial"/>
                <w:color w:val="000000"/>
              </w:rPr>
              <w:t xml:space="preserve"> </w:t>
            </w:r>
          </w:p>
          <w:p w14:paraId="4A06CD3F" w14:textId="7A812ED5" w:rsidR="00F57731" w:rsidRPr="001216DD" w:rsidRDefault="00F57731" w:rsidP="00F01E1A">
            <w:pPr>
              <w:pStyle w:val="LRWLBodyText"/>
              <w:numPr>
                <w:ilvl w:val="0"/>
                <w:numId w:val="31"/>
              </w:numPr>
              <w:rPr>
                <w:rFonts w:cs="Arial"/>
              </w:rPr>
            </w:pPr>
            <w:r w:rsidRPr="005D0014">
              <w:rPr>
                <w:rFonts w:cs="Arial"/>
                <w:color w:val="000000"/>
              </w:rPr>
              <w:t xml:space="preserve">Health </w:t>
            </w:r>
            <w:r w:rsidR="00352022" w:rsidRPr="005D0014">
              <w:rPr>
                <w:rFonts w:cs="Arial"/>
                <w:color w:val="000000"/>
              </w:rPr>
              <w:t>p</w:t>
            </w:r>
            <w:r w:rsidRPr="005D0014">
              <w:rPr>
                <w:rFonts w:cs="Arial"/>
                <w:color w:val="000000"/>
              </w:rPr>
              <w:t xml:space="preserve">lan and </w:t>
            </w:r>
            <w:r w:rsidR="00352022" w:rsidRPr="005D0014">
              <w:rPr>
                <w:rFonts w:cs="Arial"/>
                <w:color w:val="000000"/>
              </w:rPr>
              <w:t>p</w:t>
            </w:r>
            <w:r w:rsidRPr="005D0014">
              <w:rPr>
                <w:rFonts w:cs="Arial"/>
                <w:color w:val="000000"/>
              </w:rPr>
              <w:t xml:space="preserve">lan </w:t>
            </w:r>
            <w:r w:rsidR="00352022" w:rsidRPr="005D0014">
              <w:rPr>
                <w:rFonts w:cs="Arial"/>
                <w:color w:val="000000"/>
              </w:rPr>
              <w:t>d</w:t>
            </w:r>
            <w:r w:rsidRPr="005D0014">
              <w:rPr>
                <w:rFonts w:cs="Arial"/>
                <w:color w:val="000000"/>
              </w:rPr>
              <w:t>esign</w:t>
            </w:r>
            <w:r w:rsidRPr="001216DD">
              <w:rPr>
                <w:rFonts w:cs="Arial"/>
              </w:rPr>
              <w:t xml:space="preserve"> (IYC Plan, IYC High Deductible Plan)</w:t>
            </w:r>
            <w:r w:rsidR="00352022">
              <w:rPr>
                <w:rFonts w:cs="Arial"/>
              </w:rPr>
              <w:t>;</w:t>
            </w:r>
          </w:p>
          <w:p w14:paraId="01FCD809" w14:textId="67E9E797" w:rsidR="00F57731" w:rsidRPr="001216DD" w:rsidRDefault="00F57731" w:rsidP="00F01E1A">
            <w:pPr>
              <w:pStyle w:val="LRWLBodyText"/>
              <w:numPr>
                <w:ilvl w:val="0"/>
                <w:numId w:val="31"/>
              </w:numPr>
              <w:rPr>
                <w:rFonts w:cs="Arial"/>
              </w:rPr>
            </w:pPr>
            <w:r w:rsidRPr="001216DD">
              <w:rPr>
                <w:rFonts w:cs="Arial"/>
              </w:rPr>
              <w:t xml:space="preserve">Participant Type (Subscriber, </w:t>
            </w:r>
            <w:r w:rsidR="00110B79">
              <w:rPr>
                <w:rFonts w:cs="Arial"/>
              </w:rPr>
              <w:t>s</w:t>
            </w:r>
            <w:r w:rsidR="00110B79" w:rsidRPr="001216DD">
              <w:rPr>
                <w:rFonts w:cs="Arial"/>
              </w:rPr>
              <w:t>pouse</w:t>
            </w:r>
            <w:r w:rsidRPr="001216DD">
              <w:rPr>
                <w:rFonts w:cs="Arial"/>
              </w:rPr>
              <w:t>/</w:t>
            </w:r>
            <w:r w:rsidR="00110B79">
              <w:rPr>
                <w:rFonts w:cs="Arial"/>
              </w:rPr>
              <w:t>d</w:t>
            </w:r>
            <w:r w:rsidRPr="001216DD">
              <w:rPr>
                <w:rFonts w:cs="Arial"/>
              </w:rPr>
              <w:t xml:space="preserve">omestic </w:t>
            </w:r>
            <w:r w:rsidR="00110B79">
              <w:rPr>
                <w:rFonts w:cs="Arial"/>
              </w:rPr>
              <w:t>p</w:t>
            </w:r>
            <w:r w:rsidRPr="001216DD">
              <w:rPr>
                <w:rFonts w:cs="Arial"/>
              </w:rPr>
              <w:t>artner)</w:t>
            </w:r>
            <w:r w:rsidR="00352022">
              <w:rPr>
                <w:rFonts w:cs="Arial"/>
              </w:rPr>
              <w:t>; and</w:t>
            </w:r>
          </w:p>
          <w:p w14:paraId="2C8E4E7E" w14:textId="63A7B817" w:rsidR="00F57731" w:rsidRDefault="00F57731" w:rsidP="00F01E1A">
            <w:pPr>
              <w:pStyle w:val="LRWLBodyText"/>
              <w:numPr>
                <w:ilvl w:val="0"/>
                <w:numId w:val="31"/>
              </w:numPr>
            </w:pPr>
            <w:r w:rsidRPr="001216DD">
              <w:rPr>
                <w:rFonts w:cs="Arial"/>
              </w:rPr>
              <w:t>County</w:t>
            </w:r>
            <w:r w:rsidR="00352022">
              <w:rPr>
                <w:rFonts w:cs="Arial"/>
              </w:rPr>
              <w:t>.</w:t>
            </w:r>
          </w:p>
        </w:tc>
      </w:tr>
      <w:tr w:rsidR="00FE4728" w14:paraId="58AF7AED" w14:textId="77777777" w:rsidTr="0059128F">
        <w:tc>
          <w:tcPr>
            <w:tcW w:w="535" w:type="dxa"/>
          </w:tcPr>
          <w:p w14:paraId="1C14FCC7" w14:textId="77777777" w:rsidR="00FE4728" w:rsidRDefault="00FE4728" w:rsidP="00F01E1A">
            <w:pPr>
              <w:pStyle w:val="ListParagraph"/>
              <w:numPr>
                <w:ilvl w:val="0"/>
                <w:numId w:val="26"/>
              </w:numPr>
            </w:pPr>
          </w:p>
        </w:tc>
        <w:tc>
          <w:tcPr>
            <w:tcW w:w="8815" w:type="dxa"/>
          </w:tcPr>
          <w:p w14:paraId="6C321729" w14:textId="5DE48678" w:rsidR="00FE4728" w:rsidRDefault="00FE4728" w:rsidP="00C55B98">
            <w:pPr>
              <w:pStyle w:val="LRWLBodyText"/>
              <w:rPr>
                <w:rFonts w:cs="Arial"/>
                <w:sz w:val="20"/>
                <w:szCs w:val="20"/>
              </w:rPr>
            </w:pPr>
            <w:r w:rsidRPr="001216DD">
              <w:rPr>
                <w:rFonts w:cs="Arial"/>
                <w:color w:val="000000"/>
              </w:rPr>
              <w:t xml:space="preserve">The </w:t>
            </w:r>
            <w:r w:rsidR="00A146AC">
              <w:rPr>
                <w:rFonts w:cs="Arial"/>
                <w:color w:val="000000"/>
              </w:rPr>
              <w:t>Contractor</w:t>
            </w:r>
            <w:r w:rsidR="001216DD" w:rsidRPr="001216DD">
              <w:rPr>
                <w:rFonts w:cs="Arial"/>
                <w:color w:val="000000"/>
              </w:rPr>
              <w:t xml:space="preserve"> must provide </w:t>
            </w:r>
            <w:r w:rsidR="001216DD">
              <w:rPr>
                <w:rFonts w:cs="Arial"/>
                <w:color w:val="000000"/>
              </w:rPr>
              <w:t>a</w:t>
            </w:r>
            <w:r w:rsidR="001216DD" w:rsidRPr="001216DD">
              <w:rPr>
                <w:rFonts w:cs="Arial"/>
                <w:color w:val="000000"/>
              </w:rPr>
              <w:t xml:space="preserve">d hoc reporting. </w:t>
            </w:r>
            <w:r w:rsidRPr="001216DD">
              <w:rPr>
                <w:rFonts w:cs="Arial"/>
                <w:color w:val="000000"/>
              </w:rPr>
              <w:t xml:space="preserve">The </w:t>
            </w:r>
            <w:r w:rsidR="00A146AC">
              <w:rPr>
                <w:rFonts w:cs="Arial"/>
                <w:color w:val="000000"/>
              </w:rPr>
              <w:t>Contractor</w:t>
            </w:r>
            <w:r w:rsidR="001216DD" w:rsidRPr="001216DD">
              <w:rPr>
                <w:rFonts w:cs="Arial"/>
                <w:color w:val="000000"/>
              </w:rPr>
              <w:t xml:space="preserve"> must </w:t>
            </w:r>
            <w:r w:rsidRPr="001216DD">
              <w:rPr>
                <w:rFonts w:cs="Arial"/>
                <w:color w:val="000000"/>
              </w:rPr>
              <w:t xml:space="preserve">deliver such reports to </w:t>
            </w:r>
            <w:r w:rsidR="001216DD" w:rsidRPr="001216DD">
              <w:rPr>
                <w:rFonts w:cs="Arial"/>
                <w:color w:val="000000"/>
              </w:rPr>
              <w:t>ETF</w:t>
            </w:r>
            <w:r w:rsidRPr="001216DD">
              <w:rPr>
                <w:rFonts w:cs="Arial"/>
                <w:color w:val="000000"/>
              </w:rPr>
              <w:t xml:space="preserve"> within five (5)</w:t>
            </w:r>
            <w:r w:rsidR="001216DD" w:rsidRPr="001216DD">
              <w:rPr>
                <w:rFonts w:cs="Arial"/>
                <w:color w:val="000000"/>
              </w:rPr>
              <w:t xml:space="preserve"> B</w:t>
            </w:r>
            <w:r w:rsidRPr="001216DD">
              <w:rPr>
                <w:rFonts w:cs="Arial"/>
                <w:color w:val="000000"/>
              </w:rPr>
              <w:t xml:space="preserve">usiness </w:t>
            </w:r>
            <w:r w:rsidR="001216DD" w:rsidRPr="001216DD">
              <w:rPr>
                <w:rFonts w:cs="Arial"/>
                <w:color w:val="000000"/>
              </w:rPr>
              <w:t>D</w:t>
            </w:r>
            <w:r w:rsidRPr="001216DD">
              <w:rPr>
                <w:rFonts w:cs="Arial"/>
                <w:color w:val="000000"/>
              </w:rPr>
              <w:t xml:space="preserve">ays of </w:t>
            </w:r>
            <w:r w:rsidR="001216DD" w:rsidRPr="001216DD">
              <w:rPr>
                <w:rFonts w:cs="Arial"/>
                <w:color w:val="000000"/>
              </w:rPr>
              <w:t>ETF’</w:t>
            </w:r>
            <w:r w:rsidRPr="001216DD">
              <w:rPr>
                <w:rFonts w:cs="Arial"/>
                <w:color w:val="000000"/>
              </w:rPr>
              <w:t xml:space="preserve">s request. </w:t>
            </w:r>
          </w:p>
        </w:tc>
      </w:tr>
      <w:tr w:rsidR="00572FF2" w14:paraId="34DC21B3" w14:textId="77777777" w:rsidTr="0059128F">
        <w:tc>
          <w:tcPr>
            <w:tcW w:w="535" w:type="dxa"/>
          </w:tcPr>
          <w:p w14:paraId="090BA0D7" w14:textId="77777777" w:rsidR="00572FF2" w:rsidRDefault="00572FF2" w:rsidP="00F01E1A">
            <w:pPr>
              <w:pStyle w:val="ListParagraph"/>
              <w:numPr>
                <w:ilvl w:val="0"/>
                <w:numId w:val="26"/>
              </w:numPr>
            </w:pPr>
          </w:p>
        </w:tc>
        <w:tc>
          <w:tcPr>
            <w:tcW w:w="8815" w:type="dxa"/>
          </w:tcPr>
          <w:p w14:paraId="1E260D62" w14:textId="23078515" w:rsidR="00572FF2" w:rsidRPr="00C55B98" w:rsidRDefault="00572FF2" w:rsidP="00684B1D">
            <w:pPr>
              <w:pStyle w:val="LRWLBodyText"/>
              <w:rPr>
                <w:rFonts w:cs="Arial"/>
                <w:color w:val="000000"/>
              </w:rPr>
            </w:pPr>
            <w:r w:rsidRPr="00C55B98">
              <w:rPr>
                <w:rFonts w:cs="Arial"/>
                <w:color w:val="000000"/>
              </w:rPr>
              <w:t xml:space="preserve">ETF requirements regarding </w:t>
            </w:r>
            <w:r>
              <w:rPr>
                <w:rFonts w:cs="Arial"/>
                <w:color w:val="000000"/>
              </w:rPr>
              <w:t xml:space="preserve">the </w:t>
            </w:r>
            <w:r w:rsidRPr="00C55B98">
              <w:rPr>
                <w:rFonts w:cs="Arial"/>
                <w:color w:val="000000"/>
              </w:rPr>
              <w:t xml:space="preserve">frequency of </w:t>
            </w:r>
            <w:r w:rsidR="00684B1D">
              <w:rPr>
                <w:rFonts w:cs="Arial"/>
                <w:color w:val="000000"/>
              </w:rPr>
              <w:t xml:space="preserve">report </w:t>
            </w:r>
            <w:r w:rsidRPr="00C55B98">
              <w:rPr>
                <w:rFonts w:cs="Arial"/>
                <w:color w:val="000000"/>
              </w:rPr>
              <w:t>submission</w:t>
            </w:r>
            <w:r w:rsidR="00684B1D">
              <w:rPr>
                <w:rFonts w:cs="Arial"/>
                <w:color w:val="000000"/>
              </w:rPr>
              <w:t>s</w:t>
            </w:r>
            <w:r w:rsidRPr="00C55B98">
              <w:rPr>
                <w:rFonts w:cs="Arial"/>
                <w:color w:val="000000"/>
              </w:rPr>
              <w:t xml:space="preserve"> may change during the term of the Contract. The </w:t>
            </w:r>
            <w:r w:rsidR="00A146AC">
              <w:rPr>
                <w:rFonts w:cs="Arial"/>
                <w:color w:val="000000"/>
              </w:rPr>
              <w:t>Contractor</w:t>
            </w:r>
            <w:r w:rsidRPr="00C55B98">
              <w:rPr>
                <w:rFonts w:cs="Arial"/>
                <w:color w:val="000000"/>
              </w:rPr>
              <w:t xml:space="preserve"> must</w:t>
            </w:r>
            <w:r>
              <w:rPr>
                <w:rFonts w:cs="Arial"/>
                <w:color w:val="000000"/>
              </w:rPr>
              <w:t xml:space="preserve"> comply with </w:t>
            </w:r>
            <w:r w:rsidR="00684B1D">
              <w:rPr>
                <w:rFonts w:cs="Arial"/>
                <w:color w:val="000000"/>
              </w:rPr>
              <w:t xml:space="preserve">such </w:t>
            </w:r>
            <w:r>
              <w:rPr>
                <w:rFonts w:cs="Arial"/>
                <w:color w:val="000000"/>
              </w:rPr>
              <w:t xml:space="preserve">changes within </w:t>
            </w:r>
            <w:r w:rsidRPr="00C55B98">
              <w:rPr>
                <w:rFonts w:cs="Arial"/>
                <w:color w:val="000000"/>
              </w:rPr>
              <w:t xml:space="preserve">forty-five (45) </w:t>
            </w:r>
            <w:r w:rsidR="00352022">
              <w:rPr>
                <w:rFonts w:cs="Arial"/>
                <w:color w:val="000000"/>
              </w:rPr>
              <w:t>D</w:t>
            </w:r>
            <w:r w:rsidRPr="00C55B98">
              <w:rPr>
                <w:rFonts w:cs="Arial"/>
                <w:color w:val="000000"/>
              </w:rPr>
              <w:t>ays</w:t>
            </w:r>
            <w:r w:rsidRPr="001216DD">
              <w:rPr>
                <w:rFonts w:cs="Arial"/>
                <w:color w:val="000000"/>
              </w:rPr>
              <w:t>.</w:t>
            </w:r>
          </w:p>
        </w:tc>
      </w:tr>
      <w:tr w:rsidR="00F44674" w14:paraId="67EF9305" w14:textId="77777777" w:rsidTr="0059128F">
        <w:tc>
          <w:tcPr>
            <w:tcW w:w="535" w:type="dxa"/>
          </w:tcPr>
          <w:p w14:paraId="64E98B8E" w14:textId="77777777" w:rsidR="00F44674" w:rsidRDefault="00F44674" w:rsidP="00F01E1A">
            <w:pPr>
              <w:pStyle w:val="ListParagraph"/>
              <w:numPr>
                <w:ilvl w:val="0"/>
                <w:numId w:val="26"/>
              </w:numPr>
            </w:pPr>
          </w:p>
        </w:tc>
        <w:tc>
          <w:tcPr>
            <w:tcW w:w="8815" w:type="dxa"/>
          </w:tcPr>
          <w:p w14:paraId="6E9BBEB2" w14:textId="7FC55225" w:rsidR="00F44674" w:rsidRPr="00C55B98" w:rsidRDefault="00F44674" w:rsidP="00773ECA">
            <w:pPr>
              <w:pStyle w:val="LRWLBodyText"/>
              <w:rPr>
                <w:rFonts w:cs="Arial"/>
                <w:color w:val="000000"/>
              </w:rPr>
            </w:pPr>
            <w:r>
              <w:rPr>
                <w:rFonts w:cs="Arial"/>
                <w:color w:val="000000"/>
              </w:rPr>
              <w:t xml:space="preserve">The </w:t>
            </w:r>
            <w:r w:rsidR="00A146AC">
              <w:rPr>
                <w:rFonts w:cs="Arial"/>
                <w:color w:val="000000"/>
              </w:rPr>
              <w:t>Contractor</w:t>
            </w:r>
            <w:r>
              <w:rPr>
                <w:rFonts w:cs="Arial"/>
                <w:color w:val="000000"/>
              </w:rPr>
              <w:t xml:space="preserve"> must fully support the Board and ETF in responding to informational requests made by the Legislature. The </w:t>
            </w:r>
            <w:r w:rsidR="00A146AC">
              <w:rPr>
                <w:rFonts w:cs="Arial"/>
                <w:color w:val="000000"/>
              </w:rPr>
              <w:t>Contractor</w:t>
            </w:r>
            <w:r>
              <w:rPr>
                <w:rFonts w:cs="Arial"/>
                <w:color w:val="000000"/>
              </w:rPr>
              <w:t xml:space="preserve"> must provide a response to ETF Legislative requests with</w:t>
            </w:r>
            <w:r w:rsidR="00E41532">
              <w:rPr>
                <w:rFonts w:cs="Arial"/>
                <w:color w:val="000000"/>
              </w:rPr>
              <w:t>in</w:t>
            </w:r>
            <w:r>
              <w:rPr>
                <w:rFonts w:cs="Arial"/>
                <w:color w:val="000000"/>
              </w:rPr>
              <w:t xml:space="preserve"> two (2) Business Days.</w:t>
            </w:r>
          </w:p>
        </w:tc>
      </w:tr>
      <w:tr w:rsidR="00572FF2" w14:paraId="593F1DB5" w14:textId="77777777" w:rsidTr="0059128F">
        <w:tc>
          <w:tcPr>
            <w:tcW w:w="535" w:type="dxa"/>
          </w:tcPr>
          <w:p w14:paraId="1E20FEC8" w14:textId="77777777" w:rsidR="00572FF2" w:rsidRDefault="00572FF2" w:rsidP="00F01E1A">
            <w:pPr>
              <w:pStyle w:val="ListParagraph"/>
              <w:numPr>
                <w:ilvl w:val="0"/>
                <w:numId w:val="26"/>
              </w:numPr>
            </w:pPr>
          </w:p>
        </w:tc>
        <w:tc>
          <w:tcPr>
            <w:tcW w:w="8815" w:type="dxa"/>
          </w:tcPr>
          <w:p w14:paraId="72DB1199" w14:textId="5C76541D" w:rsidR="00572FF2" w:rsidRPr="00C55B98" w:rsidDel="00FD3A65" w:rsidRDefault="00572FF2" w:rsidP="00F44674">
            <w:pPr>
              <w:pStyle w:val="LRWLBodyText"/>
              <w:rPr>
                <w:rFonts w:cs="Arial"/>
              </w:rPr>
            </w:pPr>
            <w:r w:rsidRPr="00C55B98">
              <w:rPr>
                <w:rFonts w:cs="Arial"/>
                <w:color w:val="000000"/>
              </w:rPr>
              <w:t xml:space="preserve">The </w:t>
            </w:r>
            <w:r w:rsidR="00A146AC">
              <w:rPr>
                <w:rFonts w:cs="Arial"/>
                <w:color w:val="000000"/>
              </w:rPr>
              <w:t>Contractor</w:t>
            </w:r>
            <w:r w:rsidRPr="00C55B98">
              <w:rPr>
                <w:rFonts w:cs="Arial"/>
                <w:color w:val="000000"/>
              </w:rPr>
              <w:t xml:space="preserve"> </w:t>
            </w:r>
            <w:r w:rsidR="00F44674">
              <w:rPr>
                <w:rFonts w:cs="Arial"/>
                <w:color w:val="000000"/>
              </w:rPr>
              <w:t>must</w:t>
            </w:r>
            <w:r w:rsidR="00F44674" w:rsidRPr="00C55B98">
              <w:rPr>
                <w:rFonts w:cs="Arial"/>
                <w:color w:val="000000"/>
              </w:rPr>
              <w:t xml:space="preserve"> </w:t>
            </w:r>
            <w:r w:rsidRPr="00C55B98">
              <w:rPr>
                <w:rFonts w:cs="Arial"/>
                <w:color w:val="000000"/>
              </w:rPr>
              <w:t>notify ETF regarding any significant changes in its</w:t>
            </w:r>
            <w:r>
              <w:rPr>
                <w:rFonts w:cs="Arial"/>
                <w:color w:val="000000"/>
              </w:rPr>
              <w:t xml:space="preserve"> </w:t>
            </w:r>
            <w:r w:rsidRPr="00C55B98">
              <w:rPr>
                <w:rFonts w:cs="Arial"/>
                <w:color w:val="000000"/>
              </w:rPr>
              <w:t>ability to collect information relative to required data or reports</w:t>
            </w:r>
            <w:r w:rsidR="00E41532">
              <w:rPr>
                <w:rFonts w:cs="Arial"/>
                <w:color w:val="000000"/>
              </w:rPr>
              <w:t>.</w:t>
            </w:r>
          </w:p>
        </w:tc>
      </w:tr>
      <w:tr w:rsidR="00C97251" w14:paraId="01C4295D" w14:textId="77777777" w:rsidTr="0059128F">
        <w:tc>
          <w:tcPr>
            <w:tcW w:w="535" w:type="dxa"/>
          </w:tcPr>
          <w:p w14:paraId="1236BBF3" w14:textId="77777777" w:rsidR="00C97251" w:rsidRDefault="00C97251" w:rsidP="00F01E1A">
            <w:pPr>
              <w:pStyle w:val="ListParagraph"/>
              <w:numPr>
                <w:ilvl w:val="0"/>
                <w:numId w:val="26"/>
              </w:numPr>
            </w:pPr>
          </w:p>
        </w:tc>
        <w:tc>
          <w:tcPr>
            <w:tcW w:w="8815" w:type="dxa"/>
          </w:tcPr>
          <w:p w14:paraId="7AE44C01" w14:textId="4285B134" w:rsidR="00C97251" w:rsidRPr="00C55B98" w:rsidRDefault="00C97251" w:rsidP="00C97251">
            <w:pPr>
              <w:pStyle w:val="LRWLBodyText"/>
              <w:rPr>
                <w:rFonts w:cs="Arial"/>
              </w:rPr>
            </w:pPr>
            <w:r>
              <w:rPr>
                <w:rFonts w:cs="Arial"/>
              </w:rPr>
              <w:t xml:space="preserve">Each report </w:t>
            </w:r>
            <w:r w:rsidRPr="00C55B98">
              <w:rPr>
                <w:rFonts w:cs="Arial"/>
              </w:rPr>
              <w:t xml:space="preserve">submitted by the </w:t>
            </w:r>
            <w:r w:rsidR="00A146AC">
              <w:rPr>
                <w:rFonts w:cs="Arial"/>
              </w:rPr>
              <w:t>Contractor</w:t>
            </w:r>
            <w:r w:rsidRPr="00C55B98">
              <w:rPr>
                <w:rFonts w:cs="Arial"/>
              </w:rPr>
              <w:t xml:space="preserve"> to ETF </w:t>
            </w:r>
            <w:r>
              <w:rPr>
                <w:rFonts w:cs="Arial"/>
              </w:rPr>
              <w:t>must</w:t>
            </w:r>
            <w:r w:rsidRPr="00C55B98">
              <w:rPr>
                <w:rFonts w:cs="Arial"/>
              </w:rPr>
              <w:t>:</w:t>
            </w:r>
          </w:p>
          <w:p w14:paraId="2344ACEA" w14:textId="1DEBFB79" w:rsidR="00C97251" w:rsidRPr="00C55B98" w:rsidRDefault="00C97251" w:rsidP="00F01E1A">
            <w:pPr>
              <w:pStyle w:val="LRWLBodyText"/>
              <w:numPr>
                <w:ilvl w:val="0"/>
                <w:numId w:val="46"/>
              </w:numPr>
              <w:rPr>
                <w:rFonts w:cs="Arial"/>
              </w:rPr>
            </w:pPr>
            <w:r>
              <w:rPr>
                <w:rFonts w:cs="Arial"/>
              </w:rPr>
              <w:t>Be verified by t</w:t>
            </w:r>
            <w:r w:rsidRPr="00C55B98">
              <w:rPr>
                <w:rFonts w:cs="Arial"/>
              </w:rPr>
              <w:t xml:space="preserve">he </w:t>
            </w:r>
            <w:r w:rsidR="00A146AC">
              <w:rPr>
                <w:rFonts w:cs="Arial"/>
              </w:rPr>
              <w:t>Contractor</w:t>
            </w:r>
            <w:r w:rsidRPr="00C55B98">
              <w:rPr>
                <w:rFonts w:cs="Arial"/>
              </w:rPr>
              <w:t xml:space="preserve"> </w:t>
            </w:r>
            <w:r>
              <w:rPr>
                <w:rFonts w:cs="Arial"/>
              </w:rPr>
              <w:t xml:space="preserve">for </w:t>
            </w:r>
            <w:r w:rsidRPr="00C55B98">
              <w:rPr>
                <w:rFonts w:cs="Arial"/>
              </w:rPr>
              <w:t>accuracy and completeness</w:t>
            </w:r>
            <w:r>
              <w:rPr>
                <w:rFonts w:cs="Arial"/>
              </w:rPr>
              <w:t xml:space="preserve"> prior to submission;</w:t>
            </w:r>
          </w:p>
          <w:p w14:paraId="1CAA4BE0" w14:textId="0D8F6EB2" w:rsidR="00C97251" w:rsidRDefault="00C97251" w:rsidP="00F01E1A">
            <w:pPr>
              <w:pStyle w:val="LRWLBodyText"/>
              <w:numPr>
                <w:ilvl w:val="0"/>
                <w:numId w:val="46"/>
              </w:numPr>
              <w:rPr>
                <w:rFonts w:cs="Arial"/>
              </w:rPr>
            </w:pPr>
            <w:r>
              <w:rPr>
                <w:rFonts w:cs="Arial"/>
              </w:rPr>
              <w:t>Be delivered</w:t>
            </w:r>
            <w:r w:rsidRPr="00C55B98">
              <w:rPr>
                <w:rFonts w:cs="Arial"/>
              </w:rPr>
              <w:t xml:space="preserve"> on or</w:t>
            </w:r>
            <w:r>
              <w:rPr>
                <w:rFonts w:cs="Arial"/>
              </w:rPr>
              <w:t xml:space="preserve"> </w:t>
            </w:r>
            <w:r w:rsidRPr="00C55B98">
              <w:rPr>
                <w:rFonts w:cs="Arial"/>
              </w:rPr>
              <w:t>before scheduled due dates</w:t>
            </w:r>
            <w:r>
              <w:rPr>
                <w:rFonts w:cs="Arial"/>
              </w:rPr>
              <w:t xml:space="preserve">; </w:t>
            </w:r>
          </w:p>
          <w:p w14:paraId="4C2D9310" w14:textId="7BFF38A0" w:rsidR="00C97251" w:rsidRPr="005D0014" w:rsidRDefault="00C97251" w:rsidP="00F01E1A">
            <w:pPr>
              <w:pStyle w:val="LRWLBodyText"/>
              <w:numPr>
                <w:ilvl w:val="0"/>
                <w:numId w:val="46"/>
              </w:numPr>
              <w:rPr>
                <w:rFonts w:cs="Arial"/>
              </w:rPr>
            </w:pPr>
            <w:r w:rsidRPr="00DD0022">
              <w:rPr>
                <w:rFonts w:cs="Arial"/>
                <w:color w:val="000000"/>
              </w:rPr>
              <w:t>Fully disclose all required information in a manner that is responsiv</w:t>
            </w:r>
            <w:r w:rsidR="00684B1D">
              <w:rPr>
                <w:rFonts w:cs="Arial"/>
                <w:color w:val="000000"/>
              </w:rPr>
              <w:t>e and with no material omission; and</w:t>
            </w:r>
          </w:p>
          <w:p w14:paraId="58D51645" w14:textId="0B6F999E" w:rsidR="00C97251" w:rsidRPr="00C55B98" w:rsidRDefault="00C97251" w:rsidP="00F01E1A">
            <w:pPr>
              <w:pStyle w:val="LRWLBodyText"/>
              <w:numPr>
                <w:ilvl w:val="0"/>
                <w:numId w:val="46"/>
              </w:numPr>
              <w:rPr>
                <w:rFonts w:cs="Arial"/>
                <w:color w:val="000000"/>
              </w:rPr>
            </w:pPr>
            <w:r w:rsidRPr="005D0014">
              <w:rPr>
                <w:rFonts w:cs="Arial"/>
              </w:rPr>
              <w:t>Be accompanied by a brief narrative that describes the content of the report and highlights significant findings of the report</w:t>
            </w:r>
            <w:r w:rsidRPr="00DD0022">
              <w:rPr>
                <w:rFonts w:cs="Arial"/>
                <w:sz w:val="20"/>
                <w:szCs w:val="20"/>
              </w:rPr>
              <w:t>.</w:t>
            </w:r>
          </w:p>
        </w:tc>
      </w:tr>
    </w:tbl>
    <w:p w14:paraId="188A19EB" w14:textId="42D4DD85" w:rsidR="005309E6" w:rsidRDefault="00AA0036" w:rsidP="00644C74">
      <w:pPr>
        <w:pStyle w:val="Heading2"/>
        <w:ind w:hanging="1926"/>
      </w:pPr>
      <w:r>
        <w:t>Performance</w:t>
      </w:r>
      <w:r w:rsidR="00900868">
        <w:t xml:space="preserve"> Standards</w:t>
      </w:r>
      <w:r w:rsidR="005C5885">
        <w:t xml:space="preserve"> and</w:t>
      </w:r>
      <w:r w:rsidR="00900868">
        <w:t xml:space="preserve"> </w:t>
      </w:r>
      <w:r w:rsidR="006601D6">
        <w:t>Penalties</w:t>
      </w:r>
      <w:r>
        <w:t xml:space="preserve"> </w:t>
      </w:r>
    </w:p>
    <w:p w14:paraId="5788F76E" w14:textId="59997D74" w:rsidR="003C094C" w:rsidRDefault="003C094C" w:rsidP="003C094C">
      <w:pPr>
        <w:pStyle w:val="LRWLBodyText"/>
        <w:rPr>
          <w:rFonts w:cs="Arial"/>
        </w:rPr>
      </w:pPr>
      <w:r w:rsidRPr="00782905">
        <w:t xml:space="preserve">The </w:t>
      </w:r>
      <w:r w:rsidR="00A146AC">
        <w:t>Contractor</w:t>
      </w:r>
      <w:r w:rsidRPr="00782905">
        <w:t xml:space="preserve"> must guarantee performance sufficient to fulfill the needs of the </w:t>
      </w:r>
      <w:r>
        <w:t>Contract</w:t>
      </w:r>
      <w:r w:rsidRPr="00782905">
        <w:t xml:space="preserve">. </w:t>
      </w:r>
      <w:r w:rsidR="00773ECA">
        <w:t xml:space="preserve">The Contractor must meet all performance standards listed in Appendix 7 Performance Standards. </w:t>
      </w:r>
      <w:r w:rsidRPr="00782905">
        <w:t xml:space="preserve">After </w:t>
      </w:r>
      <w:r>
        <w:t>the Contract start date</w:t>
      </w:r>
      <w:r w:rsidRPr="00782905">
        <w:t xml:space="preserve">, if additional resources are needed, the </w:t>
      </w:r>
      <w:r w:rsidR="00A146AC">
        <w:t>Contractor</w:t>
      </w:r>
      <w:r w:rsidRPr="00782905">
        <w:t xml:space="preserve"> will bear all costs necessary to</w:t>
      </w:r>
      <w:r w:rsidR="00825D25">
        <w:t xml:space="preserve"> satisfy the requirements of the Contract</w:t>
      </w:r>
      <w:r w:rsidRPr="00782905">
        <w:t>.</w:t>
      </w:r>
    </w:p>
    <w:p w14:paraId="4DCD7D65" w14:textId="3F71031C" w:rsidR="003C094C" w:rsidRDefault="003C094C" w:rsidP="003C094C">
      <w:pPr>
        <w:pStyle w:val="LRWLBodyText"/>
        <w:rPr>
          <w:rFonts w:cs="Arial"/>
        </w:rPr>
      </w:pPr>
      <w:r>
        <w:rPr>
          <w:rFonts w:cs="Arial"/>
        </w:rPr>
        <w:t>In addition</w:t>
      </w:r>
      <w:r w:rsidR="000E5556">
        <w:rPr>
          <w:rFonts w:cs="Arial"/>
        </w:rPr>
        <w:t xml:space="preserve"> to the</w:t>
      </w:r>
      <w:r>
        <w:rPr>
          <w:rFonts w:cs="Arial"/>
        </w:rPr>
        <w:t xml:space="preserve"> </w:t>
      </w:r>
      <w:r w:rsidR="00825D25">
        <w:rPr>
          <w:rFonts w:cs="Arial"/>
        </w:rPr>
        <w:t xml:space="preserve">liquidated damages detailed in </w:t>
      </w:r>
      <w:r w:rsidR="000458E9">
        <w:rPr>
          <w:rFonts w:cs="Arial"/>
        </w:rPr>
        <w:t>Exhibit 4</w:t>
      </w:r>
      <w:r>
        <w:rPr>
          <w:rFonts w:cs="Arial"/>
        </w:rPr>
        <w:t xml:space="preserve">, ETF </w:t>
      </w:r>
      <w:r w:rsidRPr="00CE09B4">
        <w:rPr>
          <w:rFonts w:cs="Arial"/>
        </w:rPr>
        <w:t xml:space="preserve">may also assess </w:t>
      </w:r>
      <w:r w:rsidR="006601D6">
        <w:rPr>
          <w:rFonts w:cs="Arial"/>
        </w:rPr>
        <w:t>penalties</w:t>
      </w:r>
      <w:r w:rsidRPr="00CE09B4">
        <w:rPr>
          <w:rFonts w:cs="Arial"/>
        </w:rPr>
        <w:t xml:space="preserve"> for </w:t>
      </w:r>
      <w:r>
        <w:rPr>
          <w:rFonts w:cs="Arial"/>
        </w:rPr>
        <w:t xml:space="preserve">failure to meet </w:t>
      </w:r>
      <w:r w:rsidR="00DA18AF">
        <w:rPr>
          <w:rFonts w:cs="Arial"/>
        </w:rPr>
        <w:t>the p</w:t>
      </w:r>
      <w:r>
        <w:rPr>
          <w:rFonts w:cs="Arial"/>
        </w:rPr>
        <w:t xml:space="preserve">erformance </w:t>
      </w:r>
      <w:r w:rsidR="00DA18AF">
        <w:rPr>
          <w:rFonts w:cs="Arial"/>
        </w:rPr>
        <w:t>standards</w:t>
      </w:r>
      <w:r w:rsidR="00900868">
        <w:rPr>
          <w:rFonts w:cs="Arial"/>
        </w:rPr>
        <w:t xml:space="preserve"> </w:t>
      </w:r>
      <w:r w:rsidR="000E5556">
        <w:rPr>
          <w:rFonts w:cs="Arial"/>
        </w:rPr>
        <w:t>listed i</w:t>
      </w:r>
      <w:r w:rsidR="00900868">
        <w:rPr>
          <w:rFonts w:cs="Arial"/>
        </w:rPr>
        <w:t xml:space="preserve">n </w:t>
      </w:r>
      <w:r w:rsidR="003A4BE4">
        <w:rPr>
          <w:rFonts w:cs="Arial"/>
        </w:rPr>
        <w:t xml:space="preserve">Appendix </w:t>
      </w:r>
      <w:r w:rsidR="0041753F">
        <w:rPr>
          <w:rFonts w:cs="Arial"/>
        </w:rPr>
        <w:t>7</w:t>
      </w:r>
      <w:r w:rsidR="003A4BE4">
        <w:rPr>
          <w:rFonts w:cs="Arial"/>
        </w:rPr>
        <w:t xml:space="preserve"> Performance Standards</w:t>
      </w:r>
      <w:r w:rsidR="00DA18AF">
        <w:rPr>
          <w:rFonts w:cs="Arial"/>
        </w:rPr>
        <w:t>.</w:t>
      </w:r>
    </w:p>
    <w:p w14:paraId="64227CFD" w14:textId="7CFC3C9B" w:rsidR="00900868" w:rsidRPr="00082528" w:rsidRDefault="00900868" w:rsidP="00900868">
      <w:pPr>
        <w:pStyle w:val="BodyText"/>
        <w:rPr>
          <w:rFonts w:ascii="Arial" w:hAnsi="Arial" w:cs="Arial"/>
          <w:color w:val="000000"/>
          <w:szCs w:val="22"/>
        </w:rPr>
      </w:pPr>
      <w:r w:rsidRPr="00082528">
        <w:rPr>
          <w:rFonts w:ascii="Arial" w:hAnsi="Arial" w:cs="Arial"/>
          <w:color w:val="000000"/>
          <w:szCs w:val="22"/>
        </w:rPr>
        <w:t xml:space="preserve">Written notification of each failure to meet a performance </w:t>
      </w:r>
      <w:r w:rsidR="00DA18AF">
        <w:rPr>
          <w:rFonts w:ascii="Arial" w:hAnsi="Arial" w:cs="Arial"/>
          <w:color w:val="000000"/>
          <w:szCs w:val="22"/>
        </w:rPr>
        <w:t>standard</w:t>
      </w:r>
      <w:r w:rsidRPr="00082528">
        <w:rPr>
          <w:rFonts w:ascii="Arial" w:hAnsi="Arial" w:cs="Arial"/>
          <w:color w:val="000000"/>
          <w:szCs w:val="22"/>
        </w:rPr>
        <w:t xml:space="preserve"> that is measured by </w:t>
      </w:r>
      <w:r w:rsidR="00DA18AF">
        <w:rPr>
          <w:rFonts w:ascii="Arial" w:hAnsi="Arial" w:cs="Arial"/>
          <w:color w:val="000000"/>
          <w:szCs w:val="22"/>
        </w:rPr>
        <w:t>ETF will</w:t>
      </w:r>
      <w:r w:rsidRPr="00082528">
        <w:rPr>
          <w:rFonts w:ascii="Arial" w:hAnsi="Arial" w:cs="Arial"/>
          <w:color w:val="000000"/>
          <w:szCs w:val="22"/>
        </w:rPr>
        <w:t xml:space="preserve"> be given to the </w:t>
      </w:r>
      <w:r w:rsidR="00A146AC">
        <w:rPr>
          <w:rFonts w:ascii="Arial" w:hAnsi="Arial" w:cs="Arial"/>
          <w:color w:val="000000"/>
          <w:szCs w:val="22"/>
        </w:rPr>
        <w:t>Contractor</w:t>
      </w:r>
      <w:r w:rsidRPr="00082528">
        <w:rPr>
          <w:rFonts w:ascii="Arial" w:hAnsi="Arial" w:cs="Arial"/>
          <w:color w:val="000000"/>
          <w:szCs w:val="22"/>
        </w:rPr>
        <w:t xml:space="preserve"> prior to assessing </w:t>
      </w:r>
      <w:r w:rsidR="006601D6">
        <w:rPr>
          <w:rFonts w:ascii="Arial" w:hAnsi="Arial" w:cs="Arial"/>
          <w:color w:val="000000"/>
          <w:szCs w:val="22"/>
        </w:rPr>
        <w:t>penalties</w:t>
      </w:r>
      <w:r w:rsidRPr="00082528">
        <w:rPr>
          <w:rFonts w:ascii="Arial" w:hAnsi="Arial" w:cs="Arial"/>
          <w:color w:val="000000"/>
          <w:szCs w:val="22"/>
        </w:rPr>
        <w:t xml:space="preserve">. The </w:t>
      </w:r>
      <w:r w:rsidR="00A146AC">
        <w:rPr>
          <w:rFonts w:ascii="Arial" w:hAnsi="Arial" w:cs="Arial"/>
          <w:color w:val="000000"/>
          <w:szCs w:val="22"/>
        </w:rPr>
        <w:t>Contractor</w:t>
      </w:r>
      <w:r w:rsidRPr="00082528">
        <w:rPr>
          <w:rFonts w:ascii="Arial" w:hAnsi="Arial" w:cs="Arial"/>
          <w:color w:val="000000"/>
          <w:szCs w:val="22"/>
        </w:rPr>
        <w:t xml:space="preserve"> </w:t>
      </w:r>
      <w:r w:rsidR="00DA18AF">
        <w:rPr>
          <w:rFonts w:ascii="Arial" w:hAnsi="Arial" w:cs="Arial"/>
          <w:color w:val="000000"/>
          <w:szCs w:val="22"/>
        </w:rPr>
        <w:t>will</w:t>
      </w:r>
      <w:r w:rsidRPr="00082528">
        <w:rPr>
          <w:rFonts w:ascii="Arial" w:hAnsi="Arial" w:cs="Arial"/>
          <w:color w:val="000000"/>
          <w:szCs w:val="22"/>
        </w:rPr>
        <w:t xml:space="preserve"> have five (5) </w:t>
      </w:r>
      <w:r w:rsidR="00DA18AF">
        <w:rPr>
          <w:rFonts w:ascii="Arial" w:hAnsi="Arial" w:cs="Arial"/>
          <w:color w:val="000000"/>
          <w:szCs w:val="22"/>
        </w:rPr>
        <w:t>B</w:t>
      </w:r>
      <w:r w:rsidRPr="00082528">
        <w:rPr>
          <w:rFonts w:ascii="Arial" w:hAnsi="Arial" w:cs="Arial"/>
          <w:color w:val="000000"/>
          <w:szCs w:val="22"/>
        </w:rPr>
        <w:t xml:space="preserve">usiness </w:t>
      </w:r>
      <w:r w:rsidR="00DA18AF">
        <w:rPr>
          <w:rFonts w:ascii="Arial" w:hAnsi="Arial" w:cs="Arial"/>
          <w:color w:val="000000"/>
          <w:szCs w:val="22"/>
        </w:rPr>
        <w:t>D</w:t>
      </w:r>
      <w:r w:rsidRPr="00082528">
        <w:rPr>
          <w:rFonts w:ascii="Arial" w:hAnsi="Arial" w:cs="Arial"/>
          <w:color w:val="000000"/>
          <w:szCs w:val="22"/>
        </w:rPr>
        <w:t xml:space="preserve">ays from the date of receipt of written notification of a failure to perform to </w:t>
      </w:r>
      <w:r w:rsidR="000E5556">
        <w:rPr>
          <w:rFonts w:ascii="Arial" w:hAnsi="Arial" w:cs="Arial"/>
          <w:color w:val="000000"/>
          <w:szCs w:val="22"/>
        </w:rPr>
        <w:t xml:space="preserve">provide </w:t>
      </w:r>
      <w:r w:rsidRPr="00082528">
        <w:rPr>
          <w:rFonts w:ascii="Arial" w:hAnsi="Arial" w:cs="Arial"/>
          <w:color w:val="000000"/>
          <w:szCs w:val="22"/>
        </w:rPr>
        <w:t xml:space="preserve">specifications to cure the failure. </w:t>
      </w:r>
      <w:r w:rsidR="00DA18AF">
        <w:rPr>
          <w:rFonts w:ascii="Arial" w:hAnsi="Arial" w:cs="Arial"/>
          <w:color w:val="000000"/>
          <w:szCs w:val="22"/>
        </w:rPr>
        <w:t>A</w:t>
      </w:r>
      <w:r w:rsidRPr="00082528">
        <w:rPr>
          <w:rFonts w:ascii="Arial" w:hAnsi="Arial" w:cs="Arial"/>
          <w:color w:val="000000"/>
          <w:szCs w:val="22"/>
        </w:rPr>
        <w:t xml:space="preserve">dditional days can be approved by </w:t>
      </w:r>
      <w:r w:rsidR="00825D25">
        <w:rPr>
          <w:rFonts w:ascii="Arial" w:hAnsi="Arial" w:cs="Arial"/>
          <w:color w:val="000000"/>
          <w:szCs w:val="22"/>
        </w:rPr>
        <w:t xml:space="preserve">the </w:t>
      </w:r>
      <w:r w:rsidR="00DA18AF">
        <w:rPr>
          <w:rFonts w:ascii="Arial" w:hAnsi="Arial" w:cs="Arial"/>
          <w:color w:val="000000"/>
          <w:szCs w:val="22"/>
        </w:rPr>
        <w:t>ETF</w:t>
      </w:r>
      <w:r w:rsidR="00825D25">
        <w:rPr>
          <w:rFonts w:ascii="Arial" w:hAnsi="Arial" w:cs="Arial"/>
          <w:color w:val="000000"/>
          <w:szCs w:val="22"/>
        </w:rPr>
        <w:t xml:space="preserve"> Program Manager</w:t>
      </w:r>
      <w:r w:rsidRPr="00082528">
        <w:rPr>
          <w:rFonts w:ascii="Arial" w:hAnsi="Arial" w:cs="Arial"/>
          <w:color w:val="000000"/>
          <w:szCs w:val="22"/>
        </w:rPr>
        <w:t xml:space="preserve"> if deemed necessary. If the failure is not resolved within this warning/cure period, </w:t>
      </w:r>
      <w:r w:rsidR="006601D6">
        <w:rPr>
          <w:rFonts w:ascii="Arial" w:hAnsi="Arial" w:cs="Arial"/>
          <w:color w:val="000000"/>
          <w:szCs w:val="22"/>
        </w:rPr>
        <w:t>penalties</w:t>
      </w:r>
      <w:r w:rsidRPr="00082528">
        <w:rPr>
          <w:rFonts w:ascii="Arial" w:hAnsi="Arial" w:cs="Arial"/>
          <w:color w:val="000000"/>
          <w:szCs w:val="22"/>
        </w:rPr>
        <w:t xml:space="preserve"> may be imposed retroactively to the date of failure to perform. The imposition of </w:t>
      </w:r>
      <w:r w:rsidR="006601D6">
        <w:rPr>
          <w:rFonts w:ascii="Arial" w:hAnsi="Arial" w:cs="Arial"/>
          <w:color w:val="000000"/>
          <w:szCs w:val="22"/>
        </w:rPr>
        <w:t>penalties</w:t>
      </w:r>
      <w:r w:rsidRPr="00082528">
        <w:rPr>
          <w:rFonts w:ascii="Arial" w:hAnsi="Arial" w:cs="Arial"/>
          <w:color w:val="000000"/>
          <w:szCs w:val="22"/>
        </w:rPr>
        <w:t xml:space="preserve"> is not in lieu of any other remedy available to </w:t>
      </w:r>
      <w:r w:rsidR="000E5556">
        <w:rPr>
          <w:rFonts w:ascii="Arial" w:hAnsi="Arial" w:cs="Arial"/>
          <w:color w:val="000000"/>
          <w:szCs w:val="22"/>
        </w:rPr>
        <w:t>ETF</w:t>
      </w:r>
      <w:r w:rsidRPr="00082528">
        <w:rPr>
          <w:rFonts w:ascii="Arial" w:hAnsi="Arial" w:cs="Arial"/>
          <w:color w:val="000000"/>
          <w:szCs w:val="22"/>
        </w:rPr>
        <w:t>.</w:t>
      </w:r>
    </w:p>
    <w:p w14:paraId="22A0F715" w14:textId="05B29EDF" w:rsidR="00900868" w:rsidRDefault="00900868" w:rsidP="00900868">
      <w:pPr>
        <w:pStyle w:val="BodyText"/>
        <w:rPr>
          <w:rFonts w:ascii="Arial" w:hAnsi="Arial" w:cs="Arial"/>
          <w:color w:val="000000"/>
          <w:szCs w:val="22"/>
        </w:rPr>
      </w:pPr>
      <w:r w:rsidRPr="00082528">
        <w:rPr>
          <w:rFonts w:ascii="Arial" w:hAnsi="Arial" w:cs="Arial"/>
          <w:color w:val="000000"/>
          <w:szCs w:val="22"/>
        </w:rPr>
        <w:lastRenderedPageBreak/>
        <w:t>If</w:t>
      </w:r>
      <w:r w:rsidR="00825D25">
        <w:rPr>
          <w:rFonts w:ascii="Arial" w:hAnsi="Arial" w:cs="Arial"/>
          <w:color w:val="000000"/>
          <w:szCs w:val="22"/>
        </w:rPr>
        <w:t xml:space="preserve"> ETF </w:t>
      </w:r>
      <w:r w:rsidRPr="00082528">
        <w:rPr>
          <w:rFonts w:ascii="Arial" w:hAnsi="Arial" w:cs="Arial"/>
          <w:color w:val="000000"/>
          <w:szCs w:val="22"/>
        </w:rPr>
        <w:t xml:space="preserve">elects to not exercise a </w:t>
      </w:r>
      <w:r w:rsidR="006601D6">
        <w:rPr>
          <w:rFonts w:ascii="Arial" w:hAnsi="Arial" w:cs="Arial"/>
          <w:color w:val="000000"/>
          <w:szCs w:val="22"/>
        </w:rPr>
        <w:t>penalty</w:t>
      </w:r>
      <w:r w:rsidRPr="00082528">
        <w:rPr>
          <w:rFonts w:ascii="Arial" w:hAnsi="Arial" w:cs="Arial"/>
          <w:color w:val="000000"/>
          <w:szCs w:val="22"/>
        </w:rPr>
        <w:t xml:space="preserve"> clause in a particular instance, this decision shall not be construed as a</w:t>
      </w:r>
      <w:r w:rsidR="00825D25">
        <w:rPr>
          <w:rFonts w:ascii="Arial" w:hAnsi="Arial" w:cs="Arial"/>
          <w:color w:val="000000"/>
          <w:szCs w:val="22"/>
        </w:rPr>
        <w:t xml:space="preserve">n acceptance of the </w:t>
      </w:r>
      <w:r w:rsidR="00A146AC">
        <w:rPr>
          <w:rFonts w:ascii="Arial" w:hAnsi="Arial" w:cs="Arial"/>
          <w:color w:val="000000"/>
          <w:szCs w:val="22"/>
        </w:rPr>
        <w:t>Contractor</w:t>
      </w:r>
      <w:r w:rsidR="00684B1D">
        <w:rPr>
          <w:rFonts w:ascii="Arial" w:hAnsi="Arial" w:cs="Arial"/>
          <w:color w:val="000000"/>
          <w:szCs w:val="22"/>
        </w:rPr>
        <w:t>’s</w:t>
      </w:r>
      <w:r w:rsidR="00825D25">
        <w:rPr>
          <w:rFonts w:ascii="Arial" w:hAnsi="Arial" w:cs="Arial"/>
          <w:color w:val="000000"/>
          <w:szCs w:val="22"/>
        </w:rPr>
        <w:t xml:space="preserve"> performance. ETF retains the </w:t>
      </w:r>
      <w:r w:rsidRPr="00082528">
        <w:rPr>
          <w:rFonts w:ascii="Arial" w:hAnsi="Arial" w:cs="Arial"/>
          <w:color w:val="000000"/>
          <w:szCs w:val="22"/>
        </w:rPr>
        <w:t xml:space="preserve">right to pursue future assessment of that performance requirement and associated </w:t>
      </w:r>
      <w:r w:rsidR="006601D6">
        <w:rPr>
          <w:rFonts w:ascii="Arial" w:hAnsi="Arial" w:cs="Arial"/>
          <w:color w:val="000000"/>
          <w:szCs w:val="22"/>
        </w:rPr>
        <w:t>penalties</w:t>
      </w:r>
      <w:r w:rsidRPr="00082528">
        <w:rPr>
          <w:rFonts w:ascii="Arial" w:hAnsi="Arial" w:cs="Arial"/>
          <w:color w:val="000000"/>
          <w:szCs w:val="22"/>
        </w:rPr>
        <w:t>.</w:t>
      </w:r>
    </w:p>
    <w:p w14:paraId="6AD117E0" w14:textId="6C081C94" w:rsidR="009F5C0A" w:rsidRPr="00625D85" w:rsidRDefault="009F5C0A" w:rsidP="00625D85">
      <w:pPr>
        <w:pStyle w:val="BodyText"/>
        <w:rPr>
          <w:rFonts w:cs="Arial"/>
          <w:color w:val="000000"/>
        </w:rPr>
      </w:pPr>
      <w:r>
        <w:rPr>
          <w:rFonts w:ascii="Arial" w:hAnsi="Arial" w:cs="Arial"/>
          <w:color w:val="000000"/>
          <w:szCs w:val="22"/>
        </w:rPr>
        <w:t>ET</w:t>
      </w:r>
      <w:r w:rsidRPr="00625D85">
        <w:rPr>
          <w:rFonts w:ascii="Arial" w:hAnsi="Arial" w:cs="Arial"/>
          <w:color w:val="000000"/>
          <w:szCs w:val="22"/>
        </w:rPr>
        <w:t xml:space="preserve">F shall be the sole determinant </w:t>
      </w:r>
      <w:r w:rsidR="00B02D40">
        <w:rPr>
          <w:rFonts w:ascii="Arial" w:hAnsi="Arial" w:cs="Arial"/>
          <w:color w:val="000000"/>
          <w:szCs w:val="22"/>
        </w:rPr>
        <w:t xml:space="preserve">as to whether or not the </w:t>
      </w:r>
      <w:r w:rsidR="00A146AC">
        <w:rPr>
          <w:rFonts w:ascii="Arial" w:hAnsi="Arial" w:cs="Arial"/>
          <w:color w:val="000000"/>
          <w:szCs w:val="22"/>
        </w:rPr>
        <w:t>Contractor</w:t>
      </w:r>
      <w:r w:rsidR="00B02D40">
        <w:rPr>
          <w:rFonts w:ascii="Arial" w:hAnsi="Arial" w:cs="Arial"/>
          <w:color w:val="000000"/>
          <w:szCs w:val="22"/>
        </w:rPr>
        <w:t xml:space="preserve"> meets </w:t>
      </w:r>
      <w:r w:rsidR="00E41532">
        <w:rPr>
          <w:rFonts w:ascii="Arial" w:hAnsi="Arial" w:cs="Arial"/>
          <w:color w:val="000000"/>
          <w:szCs w:val="22"/>
        </w:rPr>
        <w:t>a</w:t>
      </w:r>
      <w:r w:rsidR="00B02D40">
        <w:rPr>
          <w:rFonts w:ascii="Arial" w:hAnsi="Arial" w:cs="Arial"/>
          <w:color w:val="000000"/>
          <w:szCs w:val="22"/>
        </w:rPr>
        <w:t xml:space="preserve"> performance standard.</w:t>
      </w:r>
    </w:p>
    <w:p w14:paraId="0172CDF9" w14:textId="23796C9F" w:rsidR="007F5E7C" w:rsidRDefault="007F5E7C" w:rsidP="00644C74">
      <w:pPr>
        <w:pStyle w:val="Heading2"/>
        <w:ind w:hanging="1926"/>
      </w:pPr>
      <w:r>
        <w:t>Comprehensive Transition Plan</w:t>
      </w:r>
    </w:p>
    <w:p w14:paraId="7CD6BB69" w14:textId="70B78037" w:rsidR="007F5E7C" w:rsidRDefault="007F5E7C" w:rsidP="007F5E7C">
      <w:pPr>
        <w:pStyle w:val="Default"/>
        <w:rPr>
          <w:sz w:val="22"/>
          <w:szCs w:val="22"/>
        </w:rPr>
      </w:pPr>
      <w:r>
        <w:rPr>
          <w:sz w:val="22"/>
          <w:szCs w:val="22"/>
        </w:rPr>
        <w:t xml:space="preserve">Prior to Contract termination, the </w:t>
      </w:r>
      <w:r w:rsidR="00A146AC">
        <w:rPr>
          <w:sz w:val="22"/>
          <w:szCs w:val="22"/>
        </w:rPr>
        <w:t>Contractor</w:t>
      </w:r>
      <w:r>
        <w:rPr>
          <w:sz w:val="22"/>
          <w:szCs w:val="22"/>
        </w:rPr>
        <w:t xml:space="preserve"> must provide a comprehensive transition plan that provides a timeline of major tasks, activities, and information that will be provided to the succeeding vendor when relinquishing responsibilities at termination of </w:t>
      </w:r>
      <w:r w:rsidR="00684B1D">
        <w:rPr>
          <w:sz w:val="22"/>
          <w:szCs w:val="22"/>
        </w:rPr>
        <w:t xml:space="preserve">the </w:t>
      </w:r>
      <w:r w:rsidR="00352022">
        <w:rPr>
          <w:sz w:val="22"/>
          <w:szCs w:val="22"/>
        </w:rPr>
        <w:t>C</w:t>
      </w:r>
      <w:r>
        <w:rPr>
          <w:sz w:val="22"/>
          <w:szCs w:val="22"/>
        </w:rPr>
        <w:t xml:space="preserve">ontract. In the event that the </w:t>
      </w:r>
      <w:r w:rsidR="00A146AC">
        <w:rPr>
          <w:sz w:val="22"/>
          <w:szCs w:val="22"/>
        </w:rPr>
        <w:t>Contractor</w:t>
      </w:r>
      <w:r>
        <w:rPr>
          <w:sz w:val="22"/>
          <w:szCs w:val="22"/>
        </w:rPr>
        <w:t xml:space="preserve"> terminates the Contract, an updated transition plan must accompany the notice of termination. In the event the Board terminates the Contract, the </w:t>
      </w:r>
      <w:r w:rsidR="00A146AC">
        <w:rPr>
          <w:sz w:val="22"/>
          <w:szCs w:val="22"/>
        </w:rPr>
        <w:t>Contractor</w:t>
      </w:r>
      <w:r>
        <w:rPr>
          <w:sz w:val="22"/>
          <w:szCs w:val="22"/>
        </w:rPr>
        <w:t xml:space="preserve"> must send an updated transition plan to ETF within thirty (30) </w:t>
      </w:r>
      <w:r w:rsidR="00256F89">
        <w:rPr>
          <w:sz w:val="22"/>
          <w:szCs w:val="22"/>
        </w:rPr>
        <w:t>D</w:t>
      </w:r>
      <w:r>
        <w:rPr>
          <w:sz w:val="22"/>
          <w:szCs w:val="22"/>
        </w:rPr>
        <w:t xml:space="preserve">ays of the written notice of termination to the </w:t>
      </w:r>
      <w:r w:rsidR="00A146AC">
        <w:rPr>
          <w:sz w:val="22"/>
          <w:szCs w:val="22"/>
        </w:rPr>
        <w:t>Contractor</w:t>
      </w:r>
      <w:r>
        <w:rPr>
          <w:sz w:val="22"/>
          <w:szCs w:val="22"/>
        </w:rPr>
        <w:t xml:space="preserve">. The transition plan must be approved by ETF prior to the transition begin date and must include </w:t>
      </w:r>
      <w:r w:rsidR="008F2063">
        <w:rPr>
          <w:sz w:val="22"/>
          <w:szCs w:val="22"/>
        </w:rPr>
        <w:t xml:space="preserve">the </w:t>
      </w:r>
      <w:r w:rsidR="00A146AC">
        <w:rPr>
          <w:sz w:val="22"/>
          <w:szCs w:val="22"/>
        </w:rPr>
        <w:t>Contractor</w:t>
      </w:r>
      <w:r w:rsidR="008F2063">
        <w:rPr>
          <w:sz w:val="22"/>
          <w:szCs w:val="22"/>
        </w:rPr>
        <w:t>’s</w:t>
      </w:r>
      <w:r>
        <w:rPr>
          <w:sz w:val="22"/>
          <w:szCs w:val="22"/>
        </w:rPr>
        <w:t xml:space="preserve"> cooperation and participation in planning calls or meetings with the succeeding vendor. </w:t>
      </w:r>
    </w:p>
    <w:p w14:paraId="7BF18DB8" w14:textId="7D21F368" w:rsidR="007F5E7C" w:rsidRDefault="007F5E7C" w:rsidP="007F5E7C">
      <w:pPr>
        <w:pStyle w:val="LRWLBodyText"/>
      </w:pPr>
      <w:r>
        <w:t xml:space="preserve">The </w:t>
      </w:r>
      <w:r w:rsidR="00A146AC">
        <w:t>Contractor</w:t>
      </w:r>
      <w:r>
        <w:t xml:space="preserve"> must administer a run-out period of the program at no cost to ETF. The run-out period begins on the </w:t>
      </w:r>
      <w:r w:rsidR="008F2063">
        <w:t>C</w:t>
      </w:r>
      <w:r>
        <w:t xml:space="preserve">ontract termination date and will be no longer than </w:t>
      </w:r>
      <w:r w:rsidR="00256F89">
        <w:t>one hundred and eighty (</w:t>
      </w:r>
      <w:r>
        <w:t>180</w:t>
      </w:r>
      <w:r w:rsidR="00256F89">
        <w:t>)</w:t>
      </w:r>
      <w:r>
        <w:t xml:space="preserve"> </w:t>
      </w:r>
      <w:r w:rsidR="00256F89">
        <w:t>D</w:t>
      </w:r>
      <w:r>
        <w:t xml:space="preserve">ays. </w:t>
      </w:r>
      <w:r w:rsidR="00A146AC">
        <w:t>Contractor</w:t>
      </w:r>
      <w:r>
        <w:t xml:space="preserve"> must provide all reports for program close out and transmit program data to the new vendor.</w:t>
      </w:r>
    </w:p>
    <w:p w14:paraId="6033D79B" w14:textId="1FBB4791" w:rsidR="006456A2" w:rsidRPr="00273653" w:rsidRDefault="006456A2" w:rsidP="001E656B">
      <w:pPr>
        <w:pStyle w:val="Heading1"/>
        <w:tabs>
          <w:tab w:val="num" w:pos="360"/>
        </w:tabs>
        <w:ind w:left="360" w:hanging="360"/>
      </w:pPr>
      <w:bookmarkStart w:id="19" w:name="_Toc448905185"/>
      <w:r w:rsidRPr="00273653">
        <w:t xml:space="preserve">General </w:t>
      </w:r>
      <w:bookmarkEnd w:id="18"/>
      <w:r w:rsidR="00D17839">
        <w:t>Questionnaire</w:t>
      </w:r>
      <w:bookmarkEnd w:id="19"/>
    </w:p>
    <w:p w14:paraId="3FE33ECF" w14:textId="20A54D3C" w:rsidR="006456A2" w:rsidRPr="00273653" w:rsidRDefault="006456A2" w:rsidP="006456A2">
      <w:pPr>
        <w:pStyle w:val="LRWLBodyText"/>
        <w:rPr>
          <w:rFonts w:cs="Arial"/>
          <w:b/>
        </w:rPr>
      </w:pPr>
      <w:r w:rsidRPr="00273653">
        <w:rPr>
          <w:rFonts w:cs="Arial"/>
          <w:b/>
        </w:rPr>
        <w:t>This section is scored. (</w:t>
      </w:r>
      <w:r w:rsidR="000458E9">
        <w:rPr>
          <w:rFonts w:cs="Arial"/>
          <w:b/>
        </w:rPr>
        <w:t>400</w:t>
      </w:r>
      <w:r w:rsidR="00B56176" w:rsidRPr="00273653">
        <w:rPr>
          <w:rFonts w:cs="Arial"/>
          <w:b/>
        </w:rPr>
        <w:t xml:space="preserve"> </w:t>
      </w:r>
      <w:r w:rsidRPr="00273653">
        <w:rPr>
          <w:rFonts w:cs="Arial"/>
          <w:b/>
        </w:rPr>
        <w:t>total points)</w:t>
      </w:r>
    </w:p>
    <w:p w14:paraId="0BED5B73" w14:textId="34D7D409" w:rsidR="001730B0" w:rsidRPr="001730B0" w:rsidRDefault="001730B0" w:rsidP="001730B0">
      <w:pPr>
        <w:pStyle w:val="LRWLBodyText"/>
        <w:rPr>
          <w:rFonts w:cs="Arial"/>
        </w:rPr>
      </w:pPr>
      <w:r w:rsidRPr="001730B0">
        <w:rPr>
          <w:rFonts w:cs="Arial"/>
        </w:rPr>
        <w:t xml:space="preserve">The purpose of this section is to provide ETF and the Board with a basis for determining the Proposer’s capability to undertake </w:t>
      </w:r>
      <w:r w:rsidR="000C20A9">
        <w:rPr>
          <w:rFonts w:cs="Arial"/>
        </w:rPr>
        <w:t>the</w:t>
      </w:r>
      <w:r w:rsidR="000C20A9" w:rsidRPr="001730B0">
        <w:rPr>
          <w:rFonts w:cs="Arial"/>
        </w:rPr>
        <w:t xml:space="preserve"> </w:t>
      </w:r>
      <w:r w:rsidR="00613924">
        <w:rPr>
          <w:rFonts w:cs="Arial"/>
        </w:rPr>
        <w:t>C</w:t>
      </w:r>
      <w:r w:rsidRPr="001730B0">
        <w:rPr>
          <w:rFonts w:cs="Arial"/>
        </w:rPr>
        <w:t xml:space="preserve">ontract. </w:t>
      </w:r>
    </w:p>
    <w:p w14:paraId="2BDA12DC" w14:textId="329A7273" w:rsidR="001730B0" w:rsidRPr="001730B0" w:rsidRDefault="001730B0" w:rsidP="001730B0">
      <w:pPr>
        <w:pStyle w:val="LRWLBodyText"/>
        <w:rPr>
          <w:rFonts w:cs="Arial"/>
        </w:rPr>
      </w:pPr>
      <w:r w:rsidRPr="001730B0">
        <w:rPr>
          <w:rFonts w:cs="Arial"/>
        </w:rPr>
        <w:t xml:space="preserve">All Proposers must respond to the following by restating each question or statement and providing a detailed written response. Instructions for formatting the written response to this section are found in </w:t>
      </w:r>
      <w:r w:rsidRPr="00875F06">
        <w:rPr>
          <w:rFonts w:cs="Arial"/>
        </w:rPr>
        <w:t xml:space="preserve">Section </w:t>
      </w:r>
      <w:r w:rsidR="006E32D3" w:rsidRPr="0046721F">
        <w:rPr>
          <w:rFonts w:cs="Arial"/>
        </w:rPr>
        <w:t>2.4</w:t>
      </w:r>
      <w:r w:rsidR="00533C95">
        <w:rPr>
          <w:rFonts w:cs="Arial"/>
        </w:rPr>
        <w:t xml:space="preserve"> Proposal Organization and Format</w:t>
      </w:r>
      <w:r w:rsidRPr="00875F06">
        <w:rPr>
          <w:rFonts w:cs="Arial"/>
        </w:rPr>
        <w:t>.</w:t>
      </w:r>
      <w:r w:rsidRPr="001730B0">
        <w:rPr>
          <w:rFonts w:cs="Arial"/>
        </w:rPr>
        <w:t xml:space="preserve"> </w:t>
      </w:r>
    </w:p>
    <w:p w14:paraId="681251B8" w14:textId="5CBE13E1" w:rsidR="001730B0" w:rsidRPr="001730B0" w:rsidRDefault="001730B0" w:rsidP="001730B0">
      <w:pPr>
        <w:pStyle w:val="LRWLBodyText"/>
        <w:rPr>
          <w:rFonts w:cs="Arial"/>
        </w:rPr>
      </w:pPr>
      <w:r w:rsidRPr="001730B0">
        <w:rPr>
          <w:rFonts w:cs="Arial"/>
        </w:rPr>
        <w:t xml:space="preserve">The Proposer’s </w:t>
      </w:r>
      <w:r w:rsidR="00613924">
        <w:rPr>
          <w:rFonts w:cs="Arial"/>
        </w:rPr>
        <w:t>S</w:t>
      </w:r>
      <w:r w:rsidRPr="001730B0">
        <w:rPr>
          <w:rFonts w:cs="Arial"/>
        </w:rPr>
        <w:t xml:space="preserve">ervices must be able to be performed according to the requirements contained in this RFP. All resources necessary are to be provided by the Proposer and included on the Cost Proposal </w:t>
      </w:r>
      <w:r w:rsidR="006E32D3">
        <w:rPr>
          <w:rFonts w:cs="Arial"/>
        </w:rPr>
        <w:t xml:space="preserve">Attachment </w:t>
      </w:r>
      <w:r w:rsidR="00E142D9">
        <w:rPr>
          <w:rFonts w:cs="Arial"/>
        </w:rPr>
        <w:t>C</w:t>
      </w:r>
      <w:r w:rsidR="00C120D3">
        <w:rPr>
          <w:rFonts w:cs="Arial"/>
        </w:rPr>
        <w:t xml:space="preserve"> Cost Proposal</w:t>
      </w:r>
      <w:r w:rsidRPr="001730B0">
        <w:rPr>
          <w:rFonts w:cs="Arial"/>
        </w:rPr>
        <w:t>.</w:t>
      </w:r>
    </w:p>
    <w:p w14:paraId="63F896F1" w14:textId="1BDEDAA2" w:rsidR="001C6A42" w:rsidRDefault="001730B0" w:rsidP="001730B0">
      <w:pPr>
        <w:pStyle w:val="LRWLBodyText"/>
        <w:rPr>
          <w:rFonts w:cs="Arial"/>
        </w:rPr>
      </w:pPr>
      <w:r w:rsidRPr="001730B0">
        <w:rPr>
          <w:rFonts w:cs="Arial"/>
        </w:rPr>
        <w:t xml:space="preserve">The Proposer must provide sufficient detail for the Board and ETF to understand how the </w:t>
      </w:r>
      <w:r w:rsidR="00F12A19">
        <w:rPr>
          <w:rFonts w:cs="Arial"/>
        </w:rPr>
        <w:t>Proposer</w:t>
      </w:r>
      <w:r w:rsidRPr="001730B0">
        <w:rPr>
          <w:rFonts w:cs="Arial"/>
        </w:rPr>
        <w:t xml:space="preserve"> will comply with each requirement. If the Proposer believes that the Proposer’s qualifications go beyond the minimum requirements or add value, the Proposer should indicate those capabilities in each section.</w:t>
      </w:r>
    </w:p>
    <w:p w14:paraId="269F22A2" w14:textId="57B66E6D" w:rsidR="007801FF" w:rsidRPr="00273653" w:rsidRDefault="007801FF" w:rsidP="00644C74">
      <w:pPr>
        <w:pStyle w:val="Heading2"/>
        <w:ind w:hanging="1926"/>
      </w:pPr>
      <w:r w:rsidRPr="00273653">
        <w:t xml:space="preserve">Experience </w:t>
      </w:r>
    </w:p>
    <w:p w14:paraId="4200633D" w14:textId="2589D059" w:rsidR="007801FF" w:rsidRPr="00273653" w:rsidRDefault="007801FF" w:rsidP="007801FF">
      <w:pPr>
        <w:rPr>
          <w:rFonts w:ascii="Arial" w:hAnsi="Arial" w:cs="Arial"/>
        </w:rPr>
      </w:pPr>
      <w:r w:rsidRPr="00273653">
        <w:rPr>
          <w:rFonts w:ascii="Arial" w:hAnsi="Arial" w:cs="Arial"/>
        </w:rPr>
        <w:t xml:space="preserve">The </w:t>
      </w:r>
      <w:r w:rsidR="00A146AC">
        <w:rPr>
          <w:rFonts w:ascii="Arial" w:hAnsi="Arial" w:cs="Arial"/>
        </w:rPr>
        <w:t>Proposer’s</w:t>
      </w:r>
      <w:r w:rsidR="00A146AC" w:rsidRPr="00273653">
        <w:rPr>
          <w:rFonts w:ascii="Arial" w:hAnsi="Arial" w:cs="Arial"/>
        </w:rPr>
        <w:t xml:space="preserve"> </w:t>
      </w:r>
      <w:r w:rsidR="0029723D">
        <w:rPr>
          <w:rFonts w:ascii="Arial" w:hAnsi="Arial" w:cs="Arial"/>
        </w:rPr>
        <w:t>Proposal</w:t>
      </w:r>
      <w:r w:rsidRPr="00273653">
        <w:rPr>
          <w:rFonts w:ascii="Arial" w:hAnsi="Arial" w:cs="Arial"/>
        </w:rPr>
        <w:t xml:space="preserve"> package, at </w:t>
      </w:r>
      <w:r w:rsidR="008F2063">
        <w:rPr>
          <w:rFonts w:ascii="Arial" w:hAnsi="Arial" w:cs="Arial"/>
        </w:rPr>
        <w:t xml:space="preserve">a </w:t>
      </w:r>
      <w:r w:rsidRPr="00273653">
        <w:rPr>
          <w:rFonts w:ascii="Arial" w:hAnsi="Arial" w:cs="Arial"/>
        </w:rPr>
        <w:t xml:space="preserve">minimum, must </w:t>
      </w:r>
      <w:r w:rsidR="00AB728A">
        <w:rPr>
          <w:rFonts w:ascii="Arial" w:hAnsi="Arial" w:cs="Arial"/>
        </w:rPr>
        <w:t xml:space="preserve">address </w:t>
      </w:r>
      <w:r w:rsidRPr="00273653">
        <w:rPr>
          <w:rFonts w:ascii="Arial" w:hAnsi="Arial" w:cs="Arial"/>
        </w:rPr>
        <w:t>the following items, organized as indicated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60"/>
      </w:tblGrid>
      <w:tr w:rsidR="007801FF" w:rsidRPr="002233F0" w14:paraId="639ED997" w14:textId="77777777" w:rsidTr="00BD488C">
        <w:tc>
          <w:tcPr>
            <w:tcW w:w="900" w:type="dxa"/>
            <w:shd w:val="clear" w:color="auto" w:fill="auto"/>
          </w:tcPr>
          <w:p w14:paraId="23EBF274" w14:textId="77777777" w:rsidR="007801FF" w:rsidRPr="000F481B" w:rsidRDefault="007801FF" w:rsidP="007801FF">
            <w:pPr>
              <w:pStyle w:val="LRWLBodyText"/>
              <w:rPr>
                <w:rFonts w:cs="Arial"/>
              </w:rPr>
            </w:pPr>
            <w:r w:rsidRPr="000F481B">
              <w:rPr>
                <w:rFonts w:cs="Arial"/>
              </w:rPr>
              <w:t>6.1.1</w:t>
            </w:r>
          </w:p>
        </w:tc>
        <w:tc>
          <w:tcPr>
            <w:tcW w:w="8460" w:type="dxa"/>
            <w:shd w:val="clear" w:color="auto" w:fill="auto"/>
          </w:tcPr>
          <w:p w14:paraId="2DC11712" w14:textId="689D8F6F" w:rsidR="007801FF" w:rsidRPr="005563E9" w:rsidRDefault="00AB728A" w:rsidP="00F12A19">
            <w:pPr>
              <w:pStyle w:val="LRWLBodyText"/>
              <w:rPr>
                <w:rFonts w:cs="Arial"/>
              </w:rPr>
            </w:pPr>
            <w:r w:rsidRPr="00AB728A">
              <w:rPr>
                <w:rFonts w:cs="Arial"/>
              </w:rPr>
              <w:t xml:space="preserve">Provide a general description of </w:t>
            </w:r>
            <w:r w:rsidR="00F12A19">
              <w:rPr>
                <w:rFonts w:cs="Arial"/>
              </w:rPr>
              <w:t>your</w:t>
            </w:r>
            <w:r w:rsidR="0040602D" w:rsidRPr="00AB728A">
              <w:rPr>
                <w:rFonts w:cs="Arial"/>
              </w:rPr>
              <w:t xml:space="preserve"> </w:t>
            </w:r>
            <w:r w:rsidRPr="00AB728A">
              <w:rPr>
                <w:rFonts w:cs="Arial"/>
              </w:rPr>
              <w:t>company including the size of the company, number of years in business, number of employees and primary line of business.</w:t>
            </w:r>
          </w:p>
        </w:tc>
      </w:tr>
      <w:tr w:rsidR="005E5D4C" w:rsidRPr="002233F0" w14:paraId="0CD1544D" w14:textId="77777777" w:rsidTr="00BD488C">
        <w:tc>
          <w:tcPr>
            <w:tcW w:w="900" w:type="dxa"/>
            <w:shd w:val="clear" w:color="auto" w:fill="auto"/>
          </w:tcPr>
          <w:p w14:paraId="552C6FFE" w14:textId="600717F3" w:rsidR="005E5D4C" w:rsidRPr="000F481B" w:rsidRDefault="005E5D4C" w:rsidP="005516F1">
            <w:pPr>
              <w:pStyle w:val="LRWLBodyText"/>
              <w:rPr>
                <w:rFonts w:cs="Arial"/>
              </w:rPr>
            </w:pPr>
            <w:r w:rsidRPr="000F481B">
              <w:rPr>
                <w:rFonts w:cs="Arial"/>
              </w:rPr>
              <w:lastRenderedPageBreak/>
              <w:t>6.1.</w:t>
            </w:r>
            <w:r w:rsidR="005516F1" w:rsidRPr="000F481B">
              <w:rPr>
                <w:rFonts w:cs="Arial"/>
              </w:rPr>
              <w:t>2</w:t>
            </w:r>
          </w:p>
        </w:tc>
        <w:tc>
          <w:tcPr>
            <w:tcW w:w="8460" w:type="dxa"/>
            <w:shd w:val="clear" w:color="auto" w:fill="auto"/>
          </w:tcPr>
          <w:p w14:paraId="24D14F06" w14:textId="5D7D6853" w:rsidR="005E5D4C" w:rsidRDefault="005E5D4C" w:rsidP="00613924">
            <w:pPr>
              <w:pStyle w:val="LRWLBodyText"/>
              <w:rPr>
                <w:rFonts w:cs="Arial"/>
              </w:rPr>
            </w:pPr>
            <w:r w:rsidRPr="005563E9">
              <w:rPr>
                <w:rFonts w:cs="Arial"/>
              </w:rPr>
              <w:t>Highlight any acquisitions, and/or mergers or other material developments (</w:t>
            </w:r>
            <w:r w:rsidR="004F6BFF">
              <w:rPr>
                <w:rFonts w:cs="Arial"/>
              </w:rPr>
              <w:t xml:space="preserve">e.g., </w:t>
            </w:r>
            <w:r w:rsidRPr="005563E9">
              <w:rPr>
                <w:rFonts w:cs="Arial"/>
              </w:rPr>
              <w:t>changes in ownership, personnel, business, etc.) pending now or that occurred in the past five</w:t>
            </w:r>
            <w:r w:rsidR="00890293">
              <w:rPr>
                <w:rFonts w:cs="Arial"/>
              </w:rPr>
              <w:t xml:space="preserve"> (5)</w:t>
            </w:r>
            <w:r w:rsidRPr="005563E9">
              <w:rPr>
                <w:rFonts w:cs="Arial"/>
              </w:rPr>
              <w:t xml:space="preserve"> years at the company. Disclose any potential mergers or acquisitions that have been recently discussed by senior officials, and could potentially take place within the next three </w:t>
            </w:r>
            <w:r w:rsidR="00890293">
              <w:rPr>
                <w:rFonts w:cs="Arial"/>
              </w:rPr>
              <w:t xml:space="preserve">(3) </w:t>
            </w:r>
            <w:r w:rsidRPr="005563E9">
              <w:rPr>
                <w:rFonts w:cs="Arial"/>
              </w:rPr>
              <w:t xml:space="preserve">years after the </w:t>
            </w:r>
            <w:r w:rsidR="00613924">
              <w:rPr>
                <w:rFonts w:cs="Arial"/>
              </w:rPr>
              <w:t>C</w:t>
            </w:r>
            <w:r w:rsidRPr="005563E9">
              <w:rPr>
                <w:rFonts w:cs="Arial"/>
              </w:rPr>
              <w:t>ontract start date.</w:t>
            </w:r>
          </w:p>
        </w:tc>
      </w:tr>
      <w:tr w:rsidR="005E5D4C" w:rsidRPr="002233F0" w14:paraId="7906EF8F" w14:textId="77777777" w:rsidTr="00BD488C">
        <w:tc>
          <w:tcPr>
            <w:tcW w:w="900" w:type="dxa"/>
            <w:shd w:val="clear" w:color="auto" w:fill="auto"/>
          </w:tcPr>
          <w:p w14:paraId="559BCD83" w14:textId="14D03356" w:rsidR="005E5D4C" w:rsidRPr="000F481B" w:rsidRDefault="005E5D4C" w:rsidP="005516F1">
            <w:pPr>
              <w:pStyle w:val="LRWLBodyText"/>
              <w:rPr>
                <w:rFonts w:cs="Arial"/>
              </w:rPr>
            </w:pPr>
            <w:r w:rsidRPr="000F481B">
              <w:rPr>
                <w:rFonts w:cs="Arial"/>
              </w:rPr>
              <w:t>6.1.</w:t>
            </w:r>
            <w:r w:rsidR="005516F1" w:rsidRPr="000F481B">
              <w:rPr>
                <w:rFonts w:cs="Arial"/>
              </w:rPr>
              <w:t>3</w:t>
            </w:r>
          </w:p>
        </w:tc>
        <w:tc>
          <w:tcPr>
            <w:tcW w:w="8460" w:type="dxa"/>
            <w:shd w:val="clear" w:color="auto" w:fill="auto"/>
          </w:tcPr>
          <w:p w14:paraId="5527F5A0" w14:textId="010F62CF" w:rsidR="005E5D4C" w:rsidRPr="005563E9" w:rsidRDefault="00BE6D61" w:rsidP="00100FF3">
            <w:pPr>
              <w:pStyle w:val="LRWLBodyText"/>
              <w:rPr>
                <w:rFonts w:cs="Arial"/>
              </w:rPr>
            </w:pPr>
            <w:r w:rsidRPr="00AB728A">
              <w:rPr>
                <w:rFonts w:cs="Arial"/>
              </w:rPr>
              <w:t xml:space="preserve">Detail your company’s experience administering a comprehensive wellness and disease management program for an employer group of over </w:t>
            </w:r>
            <w:r>
              <w:rPr>
                <w:rFonts w:cs="Arial"/>
              </w:rPr>
              <w:t>10</w:t>
            </w:r>
            <w:r w:rsidRPr="00AB728A">
              <w:rPr>
                <w:rFonts w:cs="Arial"/>
              </w:rPr>
              <w:t>0,000 covered lives. For your five (5) largest clients</w:t>
            </w:r>
            <w:r>
              <w:rPr>
                <w:rFonts w:cs="Arial"/>
              </w:rPr>
              <w:t xml:space="preserve"> (three (3) private sector an</w:t>
            </w:r>
            <w:r w:rsidR="00B47B97">
              <w:rPr>
                <w:rFonts w:cs="Arial"/>
              </w:rPr>
              <w:t>d two (2) largest public sector</w:t>
            </w:r>
            <w:r>
              <w:rPr>
                <w:rFonts w:cs="Arial"/>
              </w:rPr>
              <w:t xml:space="preserve"> clients) </w:t>
            </w:r>
            <w:r w:rsidRPr="00AB728A">
              <w:rPr>
                <w:rFonts w:cs="Arial"/>
              </w:rPr>
              <w:t>list the entity name, the type of program for which services are provided, approximate number of eligible participants</w:t>
            </w:r>
            <w:r>
              <w:rPr>
                <w:rFonts w:cs="Arial"/>
              </w:rPr>
              <w:t>,</w:t>
            </w:r>
            <w:r w:rsidRPr="00AB728A">
              <w:rPr>
                <w:rFonts w:cs="Arial"/>
              </w:rPr>
              <w:t xml:space="preserve"> </w:t>
            </w:r>
            <w:r>
              <w:rPr>
                <w:rFonts w:cs="Arial"/>
              </w:rPr>
              <w:t xml:space="preserve">number of work locations for the entity, </w:t>
            </w:r>
            <w:r w:rsidRPr="00AB728A">
              <w:rPr>
                <w:rFonts w:cs="Arial"/>
              </w:rPr>
              <w:t xml:space="preserve">actual </w:t>
            </w:r>
            <w:r>
              <w:rPr>
                <w:rFonts w:cs="Arial"/>
              </w:rPr>
              <w:t xml:space="preserve">number of </w:t>
            </w:r>
            <w:r w:rsidRPr="00AB728A">
              <w:rPr>
                <w:rFonts w:cs="Arial"/>
              </w:rPr>
              <w:t>participants for each program</w:t>
            </w:r>
            <w:r>
              <w:rPr>
                <w:rFonts w:cs="Arial"/>
              </w:rPr>
              <w:t xml:space="preserve"> type</w:t>
            </w:r>
            <w:r w:rsidRPr="00AB728A">
              <w:rPr>
                <w:rFonts w:cs="Arial"/>
              </w:rPr>
              <w:t xml:space="preserve"> and number of years your company has been retained. Indicate which programs are primarily self-insured and primarily fully-insured</w:t>
            </w:r>
            <w:r>
              <w:rPr>
                <w:rFonts w:cs="Arial"/>
              </w:rPr>
              <w:t xml:space="preserve"> and whether it is a public or private sector employer.</w:t>
            </w:r>
          </w:p>
        </w:tc>
      </w:tr>
      <w:tr w:rsidR="00770D7D" w:rsidRPr="002233F0" w14:paraId="381B7447" w14:textId="77777777" w:rsidTr="00BD488C">
        <w:tc>
          <w:tcPr>
            <w:tcW w:w="900" w:type="dxa"/>
            <w:shd w:val="clear" w:color="auto" w:fill="auto"/>
          </w:tcPr>
          <w:p w14:paraId="1A214B7F" w14:textId="124E1734" w:rsidR="00770D7D" w:rsidRPr="000F481B" w:rsidRDefault="00770D7D" w:rsidP="005516F1">
            <w:pPr>
              <w:pStyle w:val="LRWLBodyText"/>
              <w:rPr>
                <w:rFonts w:cs="Arial"/>
              </w:rPr>
            </w:pPr>
            <w:r w:rsidRPr="000F481B">
              <w:rPr>
                <w:rFonts w:cs="Arial"/>
              </w:rPr>
              <w:t>6.1.</w:t>
            </w:r>
            <w:r w:rsidR="005516F1" w:rsidRPr="000F481B">
              <w:rPr>
                <w:rFonts w:cs="Arial"/>
              </w:rPr>
              <w:t>4</w:t>
            </w:r>
          </w:p>
        </w:tc>
        <w:tc>
          <w:tcPr>
            <w:tcW w:w="8460" w:type="dxa"/>
            <w:shd w:val="clear" w:color="auto" w:fill="auto"/>
          </w:tcPr>
          <w:p w14:paraId="0A59F512" w14:textId="54181A63" w:rsidR="00770D7D" w:rsidRPr="005563E9" w:rsidRDefault="00BE6D61" w:rsidP="00BE6D61">
            <w:pPr>
              <w:pStyle w:val="LRWLBodyText"/>
              <w:rPr>
                <w:rFonts w:cs="Arial"/>
              </w:rPr>
            </w:pPr>
            <w:r>
              <w:rPr>
                <w:rFonts w:cs="Arial"/>
              </w:rPr>
              <w:t xml:space="preserve">Detail your company’s capacity for biometric screenings and online health risk assessments by listing two (2) large employers that you have conducted biometric screenings and online health risk assessments. Include </w:t>
            </w:r>
            <w:r w:rsidRPr="00AB728A">
              <w:rPr>
                <w:rFonts w:cs="Arial"/>
              </w:rPr>
              <w:t xml:space="preserve">the entity name, </w:t>
            </w:r>
            <w:r>
              <w:rPr>
                <w:rFonts w:cs="Arial"/>
              </w:rPr>
              <w:t>year of contract activity</w:t>
            </w:r>
            <w:r w:rsidRPr="00AB728A">
              <w:rPr>
                <w:rFonts w:cs="Arial"/>
              </w:rPr>
              <w:t xml:space="preserve">, approximate number of eligible participants, </w:t>
            </w:r>
            <w:r w:rsidR="00381711">
              <w:rPr>
                <w:rFonts w:cs="Arial"/>
              </w:rPr>
              <w:t xml:space="preserve">and </w:t>
            </w:r>
            <w:r w:rsidRPr="00AB728A">
              <w:rPr>
                <w:rFonts w:cs="Arial"/>
              </w:rPr>
              <w:t>ac</w:t>
            </w:r>
            <w:r>
              <w:rPr>
                <w:rFonts w:cs="Arial"/>
              </w:rPr>
              <w:t>tual number of participants for each within a one (1) year period.</w:t>
            </w:r>
          </w:p>
        </w:tc>
      </w:tr>
    </w:tbl>
    <w:p w14:paraId="75175580" w14:textId="45894EDD" w:rsidR="001A340F" w:rsidRDefault="00636D87" w:rsidP="00644C74">
      <w:pPr>
        <w:pStyle w:val="Heading2"/>
        <w:ind w:hanging="1926"/>
      </w:pPr>
      <w:r>
        <w:t>Staff 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60"/>
      </w:tblGrid>
      <w:tr w:rsidR="00770D7D" w:rsidRPr="005563E9" w14:paraId="3A679ED6" w14:textId="77777777" w:rsidTr="005E5D4C">
        <w:tc>
          <w:tcPr>
            <w:tcW w:w="900" w:type="dxa"/>
            <w:shd w:val="clear" w:color="auto" w:fill="auto"/>
          </w:tcPr>
          <w:p w14:paraId="1B3804FD" w14:textId="77777777" w:rsidR="00770D7D" w:rsidRPr="000F481B" w:rsidRDefault="00770D7D" w:rsidP="00770D7D">
            <w:pPr>
              <w:pStyle w:val="LRWLBodyText"/>
              <w:rPr>
                <w:rFonts w:cs="Arial"/>
              </w:rPr>
            </w:pPr>
            <w:r w:rsidRPr="000F481B">
              <w:rPr>
                <w:rFonts w:cs="Arial"/>
              </w:rPr>
              <w:t>6.2.1</w:t>
            </w:r>
          </w:p>
        </w:tc>
        <w:tc>
          <w:tcPr>
            <w:tcW w:w="8460" w:type="dxa"/>
            <w:shd w:val="clear" w:color="auto" w:fill="auto"/>
          </w:tcPr>
          <w:p w14:paraId="4F24308E" w14:textId="3BB9307E" w:rsidR="00770D7D" w:rsidRPr="00381711" w:rsidRDefault="00BE6D61" w:rsidP="00381711">
            <w:pPr>
              <w:rPr>
                <w:rFonts w:ascii="Arial" w:hAnsi="Arial" w:cs="Arial"/>
                <w:color w:val="000000"/>
              </w:rPr>
            </w:pPr>
            <w:r w:rsidRPr="00147E0C">
              <w:rPr>
                <w:rFonts w:ascii="Arial" w:hAnsi="Arial" w:cs="Arial"/>
                <w:color w:val="000000"/>
              </w:rPr>
              <w:t>List the qualifications of the Account Lead, and their back-up, who would be assigned to the Contract. Include information about their prof</w:t>
            </w:r>
            <w:r>
              <w:rPr>
                <w:rFonts w:ascii="Arial" w:hAnsi="Arial" w:cs="Arial"/>
                <w:color w:val="000000"/>
              </w:rPr>
              <w:t>essional qualifications and number of years</w:t>
            </w:r>
            <w:r w:rsidRPr="00147E0C">
              <w:rPr>
                <w:rFonts w:ascii="Arial" w:hAnsi="Arial" w:cs="Arial"/>
                <w:color w:val="000000"/>
              </w:rPr>
              <w:t xml:space="preserve">’ experience in the following areas: population health management, employee wellness, disease management, customer service, and enrollment data for a client of over 100,000 covered lives. Provide a specific example of how this Account Lead has managed an account that experienced a significant challenge or rapid expansion.    </w:t>
            </w:r>
          </w:p>
        </w:tc>
      </w:tr>
      <w:tr w:rsidR="00770D7D" w:rsidRPr="005563E9" w14:paraId="2B034F07" w14:textId="77777777" w:rsidTr="00770D7D">
        <w:tc>
          <w:tcPr>
            <w:tcW w:w="900" w:type="dxa"/>
            <w:shd w:val="clear" w:color="auto" w:fill="auto"/>
          </w:tcPr>
          <w:p w14:paraId="34455D1F" w14:textId="77777777" w:rsidR="00770D7D" w:rsidRPr="000F481B" w:rsidRDefault="00770D7D" w:rsidP="00770D7D">
            <w:pPr>
              <w:pStyle w:val="LRWLBodyText"/>
              <w:rPr>
                <w:rFonts w:cs="Arial"/>
              </w:rPr>
            </w:pPr>
            <w:r w:rsidRPr="000F481B">
              <w:rPr>
                <w:rFonts w:cs="Arial"/>
              </w:rPr>
              <w:t>6.2.2</w:t>
            </w:r>
          </w:p>
        </w:tc>
        <w:tc>
          <w:tcPr>
            <w:tcW w:w="8460" w:type="dxa"/>
            <w:shd w:val="clear" w:color="auto" w:fill="auto"/>
            <w:vAlign w:val="bottom"/>
          </w:tcPr>
          <w:p w14:paraId="64123EE2" w14:textId="5BC2D116" w:rsidR="00770D7D" w:rsidRPr="002505C8" w:rsidRDefault="001E29E4" w:rsidP="00770D7D">
            <w:pPr>
              <w:pStyle w:val="LRWLBodyText"/>
              <w:rPr>
                <w:highlight w:val="green"/>
              </w:rPr>
            </w:pPr>
            <w:r w:rsidRPr="001E29E4">
              <w:rPr>
                <w:rFonts w:cs="Arial"/>
                <w:color w:val="000000"/>
              </w:rPr>
              <w:t>Provide a list of the Account Management Team members, including their title and duties. Describe the strengths</w:t>
            </w:r>
            <w:r>
              <w:rPr>
                <w:rFonts w:cs="Arial"/>
                <w:color w:val="000000"/>
              </w:rPr>
              <w:t xml:space="preserve"> and experience</w:t>
            </w:r>
            <w:r w:rsidRPr="001E29E4">
              <w:rPr>
                <w:rFonts w:cs="Arial"/>
                <w:color w:val="000000"/>
              </w:rPr>
              <w:t xml:space="preserve"> that each of these members are able to bring to </w:t>
            </w:r>
            <w:r w:rsidR="00350BD0">
              <w:rPr>
                <w:rFonts w:cs="Arial"/>
                <w:color w:val="000000"/>
              </w:rPr>
              <w:t>the</w:t>
            </w:r>
            <w:r w:rsidRPr="001E29E4">
              <w:rPr>
                <w:rFonts w:cs="Arial"/>
                <w:color w:val="000000"/>
              </w:rPr>
              <w:t xml:space="preserve"> </w:t>
            </w:r>
            <w:r w:rsidR="004C480F">
              <w:rPr>
                <w:rFonts w:cs="Arial"/>
                <w:color w:val="000000"/>
              </w:rPr>
              <w:t>project described in this RFP</w:t>
            </w:r>
            <w:r w:rsidRPr="001E29E4">
              <w:rPr>
                <w:rFonts w:cs="Arial"/>
                <w:color w:val="000000"/>
              </w:rPr>
              <w:t>.</w:t>
            </w:r>
          </w:p>
        </w:tc>
      </w:tr>
    </w:tbl>
    <w:p w14:paraId="41C5A795" w14:textId="77777777" w:rsidR="001A340F" w:rsidRPr="0046721F" w:rsidRDefault="001A340F" w:rsidP="000F481B">
      <w:pPr>
        <w:pStyle w:val="Heading2"/>
        <w:tabs>
          <w:tab w:val="clear" w:pos="1926"/>
          <w:tab w:val="num" w:pos="720"/>
        </w:tabs>
        <w:ind w:left="1890" w:hanging="1926"/>
      </w:pPr>
      <w:r w:rsidRPr="0046721F">
        <w:t xml:space="preserve">Customer Service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60"/>
      </w:tblGrid>
      <w:tr w:rsidR="005516F1" w:rsidRPr="002505C8" w14:paraId="442706EE" w14:textId="77777777" w:rsidTr="005516F1">
        <w:tc>
          <w:tcPr>
            <w:tcW w:w="900" w:type="dxa"/>
            <w:shd w:val="clear" w:color="auto" w:fill="auto"/>
          </w:tcPr>
          <w:p w14:paraId="328644F1" w14:textId="79DF2644" w:rsidR="005516F1" w:rsidRPr="000F481B" w:rsidRDefault="005516F1" w:rsidP="005516F1">
            <w:pPr>
              <w:pStyle w:val="LRWLBodyText"/>
              <w:rPr>
                <w:rFonts w:cs="Arial"/>
              </w:rPr>
            </w:pPr>
            <w:r w:rsidRPr="000F481B">
              <w:rPr>
                <w:rFonts w:cs="Arial"/>
              </w:rPr>
              <w:t>6.3.1</w:t>
            </w:r>
          </w:p>
        </w:tc>
        <w:tc>
          <w:tcPr>
            <w:tcW w:w="8460" w:type="dxa"/>
            <w:shd w:val="clear" w:color="auto" w:fill="auto"/>
          </w:tcPr>
          <w:p w14:paraId="640F907D" w14:textId="15F4BB9F" w:rsidR="005516F1" w:rsidRPr="002505C8" w:rsidRDefault="00BE6D61" w:rsidP="00642269">
            <w:pPr>
              <w:pStyle w:val="LRWLBodyText"/>
              <w:rPr>
                <w:rFonts w:cs="Arial"/>
                <w:highlight w:val="green"/>
              </w:rPr>
            </w:pPr>
            <w:r w:rsidRPr="001E29E4">
              <w:rPr>
                <w:rFonts w:cs="Arial"/>
              </w:rPr>
              <w:t>Explain how your company plans to meet the</w:t>
            </w:r>
            <w:r>
              <w:rPr>
                <w:rFonts w:cs="Arial"/>
              </w:rPr>
              <w:t xml:space="preserve"> current and future customer service needs of the Contract and the</w:t>
            </w:r>
            <w:r w:rsidRPr="001E29E4">
              <w:rPr>
                <w:rFonts w:cs="Arial"/>
              </w:rPr>
              <w:t xml:space="preserve"> performance standards listed in </w:t>
            </w:r>
            <w:r>
              <w:rPr>
                <w:rFonts w:cs="Arial"/>
              </w:rPr>
              <w:t>Appendix 7 for Customer Service</w:t>
            </w:r>
            <w:r w:rsidRPr="001E29E4">
              <w:rPr>
                <w:rFonts w:cs="Arial"/>
              </w:rPr>
              <w:t>. Provide examples of reports or materials related to meeting these requirements.</w:t>
            </w:r>
          </w:p>
        </w:tc>
      </w:tr>
    </w:tbl>
    <w:p w14:paraId="7A8EF069" w14:textId="58A9F869" w:rsidR="00C24B6B" w:rsidRDefault="00C24B6B" w:rsidP="00644C74">
      <w:pPr>
        <w:pStyle w:val="Heading2"/>
        <w:ind w:hanging="1926"/>
      </w:pPr>
      <w:r w:rsidRPr="003A4BE4">
        <w:t>Data Security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60"/>
      </w:tblGrid>
      <w:tr w:rsidR="00075ED0" w:rsidRPr="002505C8" w14:paraId="3CF1A6E3" w14:textId="77777777" w:rsidTr="00EC4CDD">
        <w:tc>
          <w:tcPr>
            <w:tcW w:w="900" w:type="dxa"/>
            <w:shd w:val="clear" w:color="auto" w:fill="auto"/>
          </w:tcPr>
          <w:p w14:paraId="1C0A2ACB" w14:textId="1D9C1DFF" w:rsidR="00075ED0" w:rsidRDefault="00075ED0" w:rsidP="00EC4CDD">
            <w:pPr>
              <w:pStyle w:val="LRWLBodyText"/>
              <w:rPr>
                <w:rFonts w:cs="Arial"/>
              </w:rPr>
            </w:pPr>
            <w:r>
              <w:rPr>
                <w:rFonts w:cs="Arial"/>
              </w:rPr>
              <w:t>6.4.1</w:t>
            </w:r>
          </w:p>
        </w:tc>
        <w:tc>
          <w:tcPr>
            <w:tcW w:w="8460" w:type="dxa"/>
            <w:shd w:val="clear" w:color="auto" w:fill="auto"/>
          </w:tcPr>
          <w:p w14:paraId="715E7FE1" w14:textId="77777777" w:rsidR="00075ED0" w:rsidRPr="00E16336" w:rsidRDefault="00075ED0" w:rsidP="00075ED0">
            <w:pPr>
              <w:pStyle w:val="CommentText"/>
              <w:ind w:left="-108"/>
              <w:rPr>
                <w:rFonts w:ascii="Arial" w:hAnsi="Arial" w:cs="Arial"/>
                <w:b/>
                <w:sz w:val="22"/>
                <w:szCs w:val="22"/>
              </w:rPr>
            </w:pPr>
            <w:r w:rsidRPr="00E16336">
              <w:rPr>
                <w:rFonts w:ascii="Arial" w:hAnsi="Arial" w:cs="Arial"/>
                <w:b/>
                <w:sz w:val="22"/>
                <w:szCs w:val="22"/>
              </w:rPr>
              <w:t xml:space="preserve">Hosting Environment. </w:t>
            </w:r>
          </w:p>
          <w:p w14:paraId="515CCAE8" w14:textId="3AC28DB4" w:rsidR="00075ED0" w:rsidRPr="00A560FA" w:rsidRDefault="00075ED0" w:rsidP="00F01E1A">
            <w:pPr>
              <w:pStyle w:val="CommentText"/>
              <w:numPr>
                <w:ilvl w:val="1"/>
                <w:numId w:val="54"/>
              </w:numPr>
              <w:ind w:left="342" w:hanging="450"/>
              <w:rPr>
                <w:rFonts w:ascii="Arial" w:hAnsi="Arial" w:cs="Arial"/>
                <w:sz w:val="22"/>
                <w:szCs w:val="22"/>
              </w:rPr>
            </w:pPr>
            <w:r>
              <w:rPr>
                <w:rFonts w:ascii="Arial" w:hAnsi="Arial" w:cs="Arial"/>
                <w:sz w:val="22"/>
                <w:szCs w:val="22"/>
              </w:rPr>
              <w:lastRenderedPageBreak/>
              <w:t>P</w:t>
            </w:r>
            <w:r w:rsidRPr="00A560FA">
              <w:rPr>
                <w:rFonts w:ascii="Arial" w:hAnsi="Arial" w:cs="Arial"/>
                <w:sz w:val="22"/>
                <w:szCs w:val="22"/>
              </w:rPr>
              <w:t>rovide a description of the hardware, software, communication mediums</w:t>
            </w:r>
            <w:r>
              <w:rPr>
                <w:rFonts w:ascii="Arial" w:hAnsi="Arial" w:cs="Arial"/>
                <w:sz w:val="22"/>
                <w:szCs w:val="22"/>
              </w:rPr>
              <w:t>,</w:t>
            </w:r>
            <w:r w:rsidRPr="00A560FA">
              <w:rPr>
                <w:rFonts w:ascii="Arial" w:hAnsi="Arial" w:cs="Arial"/>
                <w:sz w:val="22"/>
                <w:szCs w:val="22"/>
              </w:rPr>
              <w:t xml:space="preserve"> and other infrastructure necessary to meet the requirements of the </w:t>
            </w:r>
            <w:r>
              <w:rPr>
                <w:rFonts w:ascii="Arial" w:hAnsi="Arial" w:cs="Arial"/>
                <w:sz w:val="22"/>
                <w:szCs w:val="22"/>
              </w:rPr>
              <w:t>Contract</w:t>
            </w:r>
            <w:r w:rsidRPr="00A560FA">
              <w:rPr>
                <w:rFonts w:ascii="Arial" w:hAnsi="Arial" w:cs="Arial"/>
                <w:sz w:val="22"/>
                <w:szCs w:val="22"/>
              </w:rPr>
              <w:t xml:space="preserve"> at no additional cost to the State, including any licenses that must be maintained. </w:t>
            </w:r>
          </w:p>
          <w:p w14:paraId="6FE0FCF8" w14:textId="77777777" w:rsidR="00075ED0" w:rsidRPr="00A560FA" w:rsidRDefault="00075ED0" w:rsidP="00F01E1A">
            <w:pPr>
              <w:pStyle w:val="CommentText"/>
              <w:numPr>
                <w:ilvl w:val="1"/>
                <w:numId w:val="54"/>
              </w:numPr>
              <w:ind w:left="342" w:hanging="450"/>
              <w:rPr>
                <w:rFonts w:ascii="Arial" w:hAnsi="Arial" w:cs="Arial"/>
                <w:sz w:val="22"/>
                <w:szCs w:val="22"/>
              </w:rPr>
            </w:pPr>
            <w:r>
              <w:rPr>
                <w:rFonts w:ascii="Arial" w:hAnsi="Arial" w:cs="Arial"/>
                <w:sz w:val="22"/>
                <w:szCs w:val="22"/>
              </w:rPr>
              <w:t>P</w:t>
            </w:r>
            <w:r w:rsidRPr="00A560FA">
              <w:rPr>
                <w:rFonts w:ascii="Arial" w:hAnsi="Arial" w:cs="Arial"/>
                <w:sz w:val="22"/>
                <w:szCs w:val="22"/>
              </w:rPr>
              <w:t xml:space="preserve">rovide a description of the physical security safeguards enforced at </w:t>
            </w:r>
            <w:r>
              <w:rPr>
                <w:rFonts w:ascii="Arial" w:hAnsi="Arial" w:cs="Arial"/>
                <w:sz w:val="22"/>
                <w:szCs w:val="22"/>
              </w:rPr>
              <w:t>your</w:t>
            </w:r>
            <w:r w:rsidRPr="00A560FA">
              <w:rPr>
                <w:rFonts w:ascii="Arial" w:hAnsi="Arial" w:cs="Arial"/>
                <w:sz w:val="22"/>
                <w:szCs w:val="22"/>
              </w:rPr>
              <w:t xml:space="preserve"> private hosted datacenter or datacenters hosted by a third party cloud provider. </w:t>
            </w:r>
          </w:p>
          <w:p w14:paraId="2555BC5E" w14:textId="6657D8D6" w:rsidR="00075ED0" w:rsidRPr="00A560FA" w:rsidRDefault="00075ED0" w:rsidP="00F01E1A">
            <w:pPr>
              <w:pStyle w:val="CommentText"/>
              <w:numPr>
                <w:ilvl w:val="1"/>
                <w:numId w:val="54"/>
              </w:numPr>
              <w:ind w:left="342" w:hanging="450"/>
              <w:rPr>
                <w:rFonts w:ascii="Arial" w:hAnsi="Arial" w:cs="Arial"/>
                <w:sz w:val="22"/>
                <w:szCs w:val="22"/>
              </w:rPr>
            </w:pPr>
            <w:r>
              <w:rPr>
                <w:rFonts w:ascii="Arial" w:hAnsi="Arial" w:cs="Arial"/>
                <w:sz w:val="22"/>
                <w:szCs w:val="22"/>
              </w:rPr>
              <w:t>D</w:t>
            </w:r>
            <w:r w:rsidRPr="00A560FA">
              <w:rPr>
                <w:rFonts w:ascii="Arial" w:hAnsi="Arial" w:cs="Arial"/>
                <w:sz w:val="22"/>
                <w:szCs w:val="22"/>
              </w:rPr>
              <w:t xml:space="preserve">escribe in detail how </w:t>
            </w:r>
            <w:r>
              <w:rPr>
                <w:rFonts w:ascii="Arial" w:hAnsi="Arial" w:cs="Arial"/>
                <w:sz w:val="22"/>
                <w:szCs w:val="22"/>
              </w:rPr>
              <w:t>your</w:t>
            </w:r>
            <w:r w:rsidRPr="00A560FA">
              <w:rPr>
                <w:rFonts w:ascii="Arial" w:hAnsi="Arial" w:cs="Arial"/>
                <w:sz w:val="22"/>
                <w:szCs w:val="22"/>
              </w:rPr>
              <w:t xml:space="preserve"> network is architected to secure the data and thwart unwanted/unknown access t</w:t>
            </w:r>
            <w:r>
              <w:rPr>
                <w:rFonts w:ascii="Arial" w:hAnsi="Arial" w:cs="Arial"/>
                <w:sz w:val="22"/>
                <w:szCs w:val="22"/>
              </w:rPr>
              <w:t xml:space="preserve">o </w:t>
            </w:r>
            <w:r w:rsidR="006100C4">
              <w:rPr>
                <w:rFonts w:ascii="Arial" w:hAnsi="Arial" w:cs="Arial"/>
                <w:sz w:val="22"/>
                <w:szCs w:val="22"/>
              </w:rPr>
              <w:t xml:space="preserve">your solution, </w:t>
            </w:r>
            <w:r>
              <w:rPr>
                <w:rFonts w:ascii="Arial" w:hAnsi="Arial" w:cs="Arial"/>
                <w:sz w:val="22"/>
                <w:szCs w:val="22"/>
              </w:rPr>
              <w:t>applications or systems. You must</w:t>
            </w:r>
            <w:r w:rsidRPr="00A560FA">
              <w:rPr>
                <w:rFonts w:ascii="Arial" w:hAnsi="Arial" w:cs="Arial"/>
                <w:sz w:val="22"/>
                <w:szCs w:val="22"/>
              </w:rPr>
              <w:t xml:space="preserve"> cover</w:t>
            </w:r>
            <w:r>
              <w:rPr>
                <w:rFonts w:ascii="Arial" w:hAnsi="Arial" w:cs="Arial"/>
                <w:sz w:val="22"/>
                <w:szCs w:val="22"/>
              </w:rPr>
              <w:t>,</w:t>
            </w:r>
            <w:r w:rsidRPr="00A560FA">
              <w:rPr>
                <w:rFonts w:ascii="Arial" w:hAnsi="Arial" w:cs="Arial"/>
                <w:sz w:val="22"/>
                <w:szCs w:val="22"/>
              </w:rPr>
              <w:t xml:space="preserve"> at</w:t>
            </w:r>
            <w:r>
              <w:rPr>
                <w:rFonts w:ascii="Arial" w:hAnsi="Arial" w:cs="Arial"/>
                <w:sz w:val="22"/>
                <w:szCs w:val="22"/>
              </w:rPr>
              <w:t xml:space="preserve"> a minimum:</w:t>
            </w:r>
          </w:p>
          <w:p w14:paraId="652828CE" w14:textId="6DA01EBD" w:rsidR="00075ED0" w:rsidRPr="00A560FA" w:rsidRDefault="00075ED0" w:rsidP="00F01E1A">
            <w:pPr>
              <w:pStyle w:val="CommentText"/>
              <w:numPr>
                <w:ilvl w:val="2"/>
                <w:numId w:val="55"/>
              </w:numPr>
              <w:tabs>
                <w:tab w:val="left" w:pos="882"/>
              </w:tabs>
              <w:ind w:left="882" w:hanging="360"/>
              <w:rPr>
                <w:rFonts w:ascii="Arial" w:hAnsi="Arial" w:cs="Arial"/>
                <w:sz w:val="22"/>
                <w:szCs w:val="22"/>
              </w:rPr>
            </w:pPr>
            <w:r w:rsidRPr="00A560FA">
              <w:rPr>
                <w:rFonts w:ascii="Arial" w:hAnsi="Arial" w:cs="Arial"/>
                <w:sz w:val="22"/>
                <w:szCs w:val="22"/>
              </w:rPr>
              <w:t>Overview of network access control</w:t>
            </w:r>
            <w:r>
              <w:rPr>
                <w:rFonts w:ascii="Arial" w:hAnsi="Arial" w:cs="Arial"/>
                <w:sz w:val="22"/>
                <w:szCs w:val="22"/>
              </w:rPr>
              <w:t>;</w:t>
            </w:r>
          </w:p>
          <w:p w14:paraId="50B24BB0" w14:textId="77777777" w:rsidR="00075ED0" w:rsidRPr="00A560FA" w:rsidRDefault="00075ED0" w:rsidP="00F01E1A">
            <w:pPr>
              <w:pStyle w:val="CommentText"/>
              <w:numPr>
                <w:ilvl w:val="2"/>
                <w:numId w:val="55"/>
              </w:numPr>
              <w:tabs>
                <w:tab w:val="left" w:pos="882"/>
              </w:tabs>
              <w:ind w:left="882" w:hanging="360"/>
              <w:rPr>
                <w:rFonts w:ascii="Arial" w:hAnsi="Arial" w:cs="Arial"/>
                <w:sz w:val="22"/>
                <w:szCs w:val="22"/>
              </w:rPr>
            </w:pPr>
            <w:r w:rsidRPr="00A560FA">
              <w:rPr>
                <w:rFonts w:ascii="Arial" w:hAnsi="Arial" w:cs="Arial"/>
                <w:sz w:val="22"/>
                <w:szCs w:val="22"/>
              </w:rPr>
              <w:t>Network access controls for administrator access</w:t>
            </w:r>
            <w:r>
              <w:rPr>
                <w:rFonts w:ascii="Arial" w:hAnsi="Arial" w:cs="Arial"/>
                <w:sz w:val="22"/>
                <w:szCs w:val="22"/>
              </w:rPr>
              <w:t>;</w:t>
            </w:r>
          </w:p>
          <w:p w14:paraId="630E8B82" w14:textId="77777777" w:rsidR="00075ED0" w:rsidRPr="00A560FA" w:rsidRDefault="00075ED0" w:rsidP="00F01E1A">
            <w:pPr>
              <w:pStyle w:val="CommentText"/>
              <w:numPr>
                <w:ilvl w:val="2"/>
                <w:numId w:val="55"/>
              </w:numPr>
              <w:tabs>
                <w:tab w:val="left" w:pos="882"/>
              </w:tabs>
              <w:ind w:left="882" w:hanging="360"/>
              <w:rPr>
                <w:rFonts w:ascii="Arial" w:hAnsi="Arial" w:cs="Arial"/>
                <w:sz w:val="22"/>
                <w:szCs w:val="22"/>
              </w:rPr>
            </w:pPr>
            <w:r w:rsidRPr="00A560FA">
              <w:rPr>
                <w:rFonts w:ascii="Arial" w:hAnsi="Arial" w:cs="Arial"/>
                <w:sz w:val="22"/>
                <w:szCs w:val="22"/>
              </w:rPr>
              <w:t>Security devices used to protect the infrastructure</w:t>
            </w:r>
            <w:r>
              <w:rPr>
                <w:rFonts w:ascii="Arial" w:hAnsi="Arial" w:cs="Arial"/>
                <w:sz w:val="22"/>
                <w:szCs w:val="22"/>
              </w:rPr>
              <w:t>;</w:t>
            </w:r>
          </w:p>
          <w:p w14:paraId="400ADBA2" w14:textId="77777777" w:rsidR="00075ED0" w:rsidRPr="00A560FA" w:rsidRDefault="00075ED0" w:rsidP="00F01E1A">
            <w:pPr>
              <w:pStyle w:val="CommentText"/>
              <w:numPr>
                <w:ilvl w:val="2"/>
                <w:numId w:val="55"/>
              </w:numPr>
              <w:tabs>
                <w:tab w:val="left" w:pos="882"/>
              </w:tabs>
              <w:ind w:left="882" w:hanging="360"/>
              <w:rPr>
                <w:rFonts w:ascii="Arial" w:hAnsi="Arial" w:cs="Arial"/>
                <w:sz w:val="22"/>
                <w:szCs w:val="22"/>
              </w:rPr>
            </w:pPr>
            <w:r w:rsidRPr="00A560FA">
              <w:rPr>
                <w:rFonts w:ascii="Arial" w:hAnsi="Arial" w:cs="Arial"/>
                <w:sz w:val="22"/>
                <w:szCs w:val="22"/>
              </w:rPr>
              <w:t>Change control processes for all systems</w:t>
            </w:r>
            <w:r>
              <w:rPr>
                <w:rFonts w:ascii="Arial" w:hAnsi="Arial" w:cs="Arial"/>
                <w:sz w:val="22"/>
                <w:szCs w:val="22"/>
              </w:rPr>
              <w:t>;</w:t>
            </w:r>
          </w:p>
          <w:p w14:paraId="7B98B4C8" w14:textId="77777777" w:rsidR="00075ED0" w:rsidRPr="00A560FA" w:rsidRDefault="00075ED0" w:rsidP="00F01E1A">
            <w:pPr>
              <w:pStyle w:val="CommentText"/>
              <w:numPr>
                <w:ilvl w:val="2"/>
                <w:numId w:val="55"/>
              </w:numPr>
              <w:tabs>
                <w:tab w:val="left" w:pos="882"/>
              </w:tabs>
              <w:ind w:left="882" w:hanging="360"/>
              <w:rPr>
                <w:rFonts w:ascii="Arial" w:hAnsi="Arial" w:cs="Arial"/>
                <w:sz w:val="22"/>
                <w:szCs w:val="22"/>
              </w:rPr>
            </w:pPr>
            <w:r w:rsidRPr="00A560FA">
              <w:rPr>
                <w:rFonts w:ascii="Arial" w:hAnsi="Arial" w:cs="Arial"/>
                <w:sz w:val="22"/>
                <w:szCs w:val="22"/>
              </w:rPr>
              <w:t>Security updates and patch management for all systems</w:t>
            </w:r>
            <w:r>
              <w:rPr>
                <w:rFonts w:ascii="Arial" w:hAnsi="Arial" w:cs="Arial"/>
                <w:sz w:val="22"/>
                <w:szCs w:val="22"/>
              </w:rPr>
              <w:t>;</w:t>
            </w:r>
          </w:p>
          <w:p w14:paraId="2C5C622E" w14:textId="77777777" w:rsidR="00075ED0" w:rsidRPr="00A560FA" w:rsidRDefault="00075ED0" w:rsidP="00F01E1A">
            <w:pPr>
              <w:pStyle w:val="CommentText"/>
              <w:numPr>
                <w:ilvl w:val="2"/>
                <w:numId w:val="55"/>
              </w:numPr>
              <w:tabs>
                <w:tab w:val="left" w:pos="882"/>
              </w:tabs>
              <w:ind w:left="882" w:hanging="360"/>
              <w:rPr>
                <w:rFonts w:ascii="Arial" w:hAnsi="Arial" w:cs="Arial"/>
                <w:sz w:val="22"/>
                <w:szCs w:val="22"/>
              </w:rPr>
            </w:pPr>
            <w:r w:rsidRPr="00A560FA">
              <w:rPr>
                <w:rFonts w:ascii="Arial" w:hAnsi="Arial" w:cs="Arial"/>
                <w:sz w:val="22"/>
                <w:szCs w:val="22"/>
              </w:rPr>
              <w:t>Host-based firewall and anti-malware protection</w:t>
            </w:r>
            <w:r>
              <w:rPr>
                <w:rFonts w:ascii="Arial" w:hAnsi="Arial" w:cs="Arial"/>
                <w:sz w:val="22"/>
                <w:szCs w:val="22"/>
              </w:rPr>
              <w:t>;</w:t>
            </w:r>
          </w:p>
          <w:p w14:paraId="6F2F4C8F" w14:textId="77777777" w:rsidR="00075ED0" w:rsidRPr="00A560FA" w:rsidRDefault="00075ED0" w:rsidP="00F01E1A">
            <w:pPr>
              <w:pStyle w:val="CommentText"/>
              <w:numPr>
                <w:ilvl w:val="2"/>
                <w:numId w:val="55"/>
              </w:numPr>
              <w:tabs>
                <w:tab w:val="left" w:pos="882"/>
              </w:tabs>
              <w:ind w:left="882" w:hanging="360"/>
              <w:rPr>
                <w:rFonts w:ascii="Arial" w:hAnsi="Arial" w:cs="Arial"/>
                <w:sz w:val="22"/>
                <w:szCs w:val="22"/>
              </w:rPr>
            </w:pPr>
            <w:r w:rsidRPr="00A560FA">
              <w:rPr>
                <w:rFonts w:ascii="Arial" w:hAnsi="Arial" w:cs="Arial"/>
                <w:sz w:val="22"/>
                <w:szCs w:val="22"/>
              </w:rPr>
              <w:t xml:space="preserve">Explanation of how much of the infrastructure/systems is owned and managed by the </w:t>
            </w:r>
            <w:r>
              <w:rPr>
                <w:rFonts w:ascii="Arial" w:hAnsi="Arial" w:cs="Arial"/>
                <w:sz w:val="22"/>
                <w:szCs w:val="22"/>
              </w:rPr>
              <w:t>Proposer</w:t>
            </w:r>
            <w:r w:rsidRPr="00A560FA">
              <w:rPr>
                <w:rFonts w:ascii="Arial" w:hAnsi="Arial" w:cs="Arial"/>
                <w:sz w:val="22"/>
                <w:szCs w:val="22"/>
              </w:rPr>
              <w:t xml:space="preserve"> and if it’s hosted, how much control the </w:t>
            </w:r>
            <w:r>
              <w:rPr>
                <w:rFonts w:ascii="Arial" w:hAnsi="Arial" w:cs="Arial"/>
                <w:sz w:val="22"/>
                <w:szCs w:val="22"/>
              </w:rPr>
              <w:t>Proposer</w:t>
            </w:r>
            <w:r w:rsidRPr="00A560FA">
              <w:rPr>
                <w:rFonts w:ascii="Arial" w:hAnsi="Arial" w:cs="Arial"/>
                <w:sz w:val="22"/>
                <w:szCs w:val="22"/>
              </w:rPr>
              <w:t xml:space="preserve"> has or does not have to change the configuration on each system (servers, switches, routers, firewalls, SIEM, Intrusion Protection Systems (IPS), Intrusion Detection System (IDS), etc.)</w:t>
            </w:r>
            <w:r>
              <w:rPr>
                <w:rFonts w:ascii="Arial" w:hAnsi="Arial" w:cs="Arial"/>
                <w:sz w:val="22"/>
                <w:szCs w:val="22"/>
              </w:rPr>
              <w:t>;</w:t>
            </w:r>
          </w:p>
          <w:p w14:paraId="0498FF97" w14:textId="77777777" w:rsidR="00075ED0" w:rsidRPr="00A560FA" w:rsidRDefault="00075ED0" w:rsidP="00F01E1A">
            <w:pPr>
              <w:pStyle w:val="CommentText"/>
              <w:numPr>
                <w:ilvl w:val="2"/>
                <w:numId w:val="55"/>
              </w:numPr>
              <w:tabs>
                <w:tab w:val="left" w:pos="882"/>
              </w:tabs>
              <w:ind w:left="882" w:hanging="360"/>
              <w:rPr>
                <w:rFonts w:ascii="Arial" w:hAnsi="Arial" w:cs="Arial"/>
                <w:sz w:val="22"/>
                <w:szCs w:val="22"/>
              </w:rPr>
            </w:pPr>
            <w:r w:rsidRPr="00A560FA">
              <w:rPr>
                <w:rFonts w:ascii="Arial" w:hAnsi="Arial" w:cs="Arial"/>
                <w:sz w:val="22"/>
                <w:szCs w:val="22"/>
              </w:rPr>
              <w:t>Encryption between systems and any Public Key Infrastructure (PKI)</w:t>
            </w:r>
            <w:r>
              <w:rPr>
                <w:rFonts w:ascii="Arial" w:hAnsi="Arial" w:cs="Arial"/>
                <w:sz w:val="22"/>
                <w:szCs w:val="22"/>
              </w:rPr>
              <w:t>; and</w:t>
            </w:r>
          </w:p>
          <w:p w14:paraId="4D186BF0" w14:textId="21601A6D" w:rsidR="00075ED0" w:rsidRPr="00644C74" w:rsidRDefault="00075ED0" w:rsidP="00F01E1A">
            <w:pPr>
              <w:pStyle w:val="CommentText"/>
              <w:numPr>
                <w:ilvl w:val="2"/>
                <w:numId w:val="55"/>
              </w:numPr>
              <w:tabs>
                <w:tab w:val="left" w:pos="882"/>
              </w:tabs>
              <w:ind w:left="882" w:hanging="360"/>
              <w:rPr>
                <w:rFonts w:cs="Arial"/>
              </w:rPr>
            </w:pPr>
            <w:r w:rsidRPr="00A560FA">
              <w:rPr>
                <w:rFonts w:ascii="Arial" w:hAnsi="Arial" w:cs="Arial"/>
                <w:sz w:val="22"/>
                <w:szCs w:val="22"/>
              </w:rPr>
              <w:t>Internal Wireless and wired networks, whether remote or directly connected, that has privileged network access to the infrastructure or systems that house the applications</w:t>
            </w:r>
            <w:r>
              <w:rPr>
                <w:rFonts w:ascii="Arial" w:hAnsi="Arial" w:cs="Arial"/>
                <w:sz w:val="22"/>
                <w:szCs w:val="22"/>
              </w:rPr>
              <w:t xml:space="preserve"> used to provide the web-</w:t>
            </w:r>
            <w:r w:rsidRPr="00A560FA">
              <w:rPr>
                <w:rFonts w:ascii="Arial" w:hAnsi="Arial" w:cs="Arial"/>
                <w:sz w:val="22"/>
                <w:szCs w:val="22"/>
              </w:rPr>
              <w:t>portal.</w:t>
            </w:r>
          </w:p>
        </w:tc>
      </w:tr>
      <w:tr w:rsidR="00075ED0" w:rsidRPr="002505C8" w14:paraId="6720CE2A" w14:textId="77777777" w:rsidTr="00EC4CDD">
        <w:tc>
          <w:tcPr>
            <w:tcW w:w="900" w:type="dxa"/>
            <w:shd w:val="clear" w:color="auto" w:fill="auto"/>
          </w:tcPr>
          <w:p w14:paraId="54053F62" w14:textId="18CAB04B" w:rsidR="00075ED0" w:rsidRDefault="00075ED0" w:rsidP="00EC4CDD">
            <w:pPr>
              <w:pStyle w:val="LRWLBodyText"/>
              <w:rPr>
                <w:rFonts w:cs="Arial"/>
              </w:rPr>
            </w:pPr>
            <w:r>
              <w:rPr>
                <w:rFonts w:cs="Arial"/>
              </w:rPr>
              <w:lastRenderedPageBreak/>
              <w:t>6.4.2</w:t>
            </w:r>
          </w:p>
        </w:tc>
        <w:tc>
          <w:tcPr>
            <w:tcW w:w="8460" w:type="dxa"/>
            <w:shd w:val="clear" w:color="auto" w:fill="auto"/>
          </w:tcPr>
          <w:p w14:paraId="15259745" w14:textId="16CBCC1E" w:rsidR="00075ED0" w:rsidRPr="00E16336" w:rsidRDefault="00075ED0" w:rsidP="00075ED0">
            <w:pPr>
              <w:pStyle w:val="CommentText"/>
              <w:ind w:left="-108"/>
              <w:rPr>
                <w:rFonts w:ascii="Arial" w:hAnsi="Arial" w:cs="Arial"/>
                <w:b/>
                <w:sz w:val="22"/>
                <w:szCs w:val="22"/>
              </w:rPr>
            </w:pPr>
            <w:bookmarkStart w:id="20" w:name="_Toc365315718"/>
            <w:r w:rsidRPr="00E16336">
              <w:rPr>
                <w:rFonts w:ascii="Arial" w:hAnsi="Arial" w:cs="Arial"/>
                <w:b/>
                <w:sz w:val="22"/>
                <w:szCs w:val="22"/>
              </w:rPr>
              <w:t>Application Architecture</w:t>
            </w:r>
            <w:bookmarkEnd w:id="20"/>
          </w:p>
          <w:p w14:paraId="5E28ED7C" w14:textId="38C974EE" w:rsidR="00075ED0" w:rsidRPr="00A560FA" w:rsidRDefault="00075ED0" w:rsidP="00F01E1A">
            <w:pPr>
              <w:pStyle w:val="CommentText"/>
              <w:numPr>
                <w:ilvl w:val="1"/>
                <w:numId w:val="56"/>
              </w:numPr>
              <w:ind w:left="342" w:hanging="450"/>
              <w:rPr>
                <w:rFonts w:ascii="Arial" w:hAnsi="Arial" w:cs="Arial"/>
                <w:sz w:val="22"/>
                <w:szCs w:val="22"/>
              </w:rPr>
            </w:pPr>
            <w:r>
              <w:rPr>
                <w:rFonts w:ascii="Arial" w:hAnsi="Arial" w:cs="Arial"/>
                <w:sz w:val="22"/>
                <w:szCs w:val="22"/>
              </w:rPr>
              <w:t>Provide</w:t>
            </w:r>
            <w:r w:rsidRPr="00A560FA">
              <w:rPr>
                <w:rFonts w:ascii="Arial" w:hAnsi="Arial" w:cs="Arial"/>
                <w:sz w:val="22"/>
                <w:szCs w:val="22"/>
              </w:rPr>
              <w:t xml:space="preserve"> a description of the high level architecture for the solution, supported with diagrams depicting the interactions among the system components.  The purpose of these diagrams is to ensure that ETF understands the essential design of the proposed solution and can determine that the design is generally consistent with the budget, scope, and capabilities represented in this RFP.  Diagrams will include architectural views that reflect the application architecture, information architecture and related data models, and corresponding software and hardware architectures</w:t>
            </w:r>
            <w:r>
              <w:rPr>
                <w:rFonts w:ascii="Arial" w:hAnsi="Arial" w:cs="Arial"/>
                <w:sz w:val="22"/>
                <w:szCs w:val="22"/>
              </w:rPr>
              <w:t>.</w:t>
            </w:r>
          </w:p>
          <w:p w14:paraId="632B8975" w14:textId="5326817A" w:rsidR="00075ED0" w:rsidRPr="00A560FA" w:rsidRDefault="00075ED0" w:rsidP="00F01E1A">
            <w:pPr>
              <w:pStyle w:val="CommentText"/>
              <w:numPr>
                <w:ilvl w:val="1"/>
                <w:numId w:val="56"/>
              </w:numPr>
              <w:ind w:left="342" w:hanging="450"/>
              <w:rPr>
                <w:rFonts w:ascii="Arial" w:hAnsi="Arial" w:cs="Arial"/>
                <w:sz w:val="22"/>
                <w:szCs w:val="22"/>
              </w:rPr>
            </w:pPr>
            <w:r w:rsidRPr="00A560FA">
              <w:rPr>
                <w:rFonts w:ascii="Arial" w:hAnsi="Arial" w:cs="Arial"/>
                <w:sz w:val="22"/>
                <w:szCs w:val="22"/>
              </w:rPr>
              <w:t xml:space="preserve">Include a discussion of the particular industry standards that are incorporated in the </w:t>
            </w:r>
            <w:r w:rsidR="006100C4">
              <w:rPr>
                <w:rFonts w:ascii="Arial" w:hAnsi="Arial" w:cs="Arial"/>
                <w:sz w:val="22"/>
                <w:szCs w:val="22"/>
              </w:rPr>
              <w:t>solution/</w:t>
            </w:r>
            <w:r w:rsidRPr="00A560FA">
              <w:rPr>
                <w:rFonts w:ascii="Arial" w:hAnsi="Arial" w:cs="Arial"/>
                <w:sz w:val="22"/>
                <w:szCs w:val="22"/>
              </w:rPr>
              <w:t xml:space="preserve">application architecture. If proprietary standards or interfaces are used please include the rationale and describe the advantage over current industry standards. </w:t>
            </w:r>
          </w:p>
          <w:p w14:paraId="18453E6C" w14:textId="77777777" w:rsidR="00075ED0" w:rsidRPr="00A560FA" w:rsidRDefault="00075ED0" w:rsidP="00F01E1A">
            <w:pPr>
              <w:pStyle w:val="CommentText"/>
              <w:numPr>
                <w:ilvl w:val="1"/>
                <w:numId w:val="56"/>
              </w:numPr>
              <w:ind w:left="342" w:hanging="450"/>
              <w:rPr>
                <w:rFonts w:ascii="Arial" w:hAnsi="Arial" w:cs="Arial"/>
                <w:sz w:val="22"/>
                <w:szCs w:val="22"/>
              </w:rPr>
            </w:pPr>
            <w:r w:rsidRPr="00A560FA">
              <w:rPr>
                <w:rFonts w:ascii="Arial" w:hAnsi="Arial" w:cs="Arial"/>
                <w:sz w:val="22"/>
                <w:szCs w:val="22"/>
              </w:rPr>
              <w:t xml:space="preserve">Include a discussion of the standard web technologies, frameworks and software platforms adopted in the development of the web user interface (e.g. JQuery, JavaScript, PHP, Ajax, Python, C#, Java, .Net). </w:t>
            </w:r>
          </w:p>
          <w:p w14:paraId="337884CF" w14:textId="77777777" w:rsidR="00075ED0" w:rsidRPr="00A560FA" w:rsidRDefault="00075ED0" w:rsidP="00F01E1A">
            <w:pPr>
              <w:pStyle w:val="CommentText"/>
              <w:numPr>
                <w:ilvl w:val="1"/>
                <w:numId w:val="56"/>
              </w:numPr>
              <w:ind w:left="342" w:hanging="450"/>
              <w:rPr>
                <w:rFonts w:ascii="Arial" w:hAnsi="Arial" w:cs="Arial"/>
                <w:sz w:val="22"/>
                <w:szCs w:val="22"/>
              </w:rPr>
            </w:pPr>
            <w:r w:rsidRPr="00A560FA">
              <w:rPr>
                <w:rFonts w:ascii="Arial" w:hAnsi="Arial" w:cs="Arial"/>
                <w:sz w:val="22"/>
                <w:szCs w:val="22"/>
              </w:rPr>
              <w:t xml:space="preserve">Include a discussion of the Software Development Life Cycle (SDLC) process for the system. </w:t>
            </w:r>
          </w:p>
          <w:p w14:paraId="318BCF4B" w14:textId="1F8368B8" w:rsidR="00075ED0" w:rsidRPr="00A560FA" w:rsidRDefault="00075ED0" w:rsidP="00F01E1A">
            <w:pPr>
              <w:pStyle w:val="CommentText"/>
              <w:numPr>
                <w:ilvl w:val="1"/>
                <w:numId w:val="56"/>
              </w:numPr>
              <w:ind w:left="342" w:hanging="450"/>
              <w:rPr>
                <w:rFonts w:ascii="Arial" w:hAnsi="Arial" w:cs="Arial"/>
                <w:sz w:val="22"/>
                <w:szCs w:val="22"/>
              </w:rPr>
            </w:pPr>
            <w:r w:rsidRPr="00A560FA">
              <w:rPr>
                <w:rFonts w:ascii="Arial" w:hAnsi="Arial" w:cs="Arial"/>
                <w:sz w:val="22"/>
                <w:szCs w:val="22"/>
              </w:rPr>
              <w:t>Include a discussion of the how the SDLC incorporates the application security principles outlined by OWASP (</w:t>
            </w:r>
            <w:hyperlink r:id="rId26" w:history="1">
              <w:r w:rsidRPr="00A560FA">
                <w:rPr>
                  <w:rStyle w:val="Hyperlink"/>
                  <w:rFonts w:ascii="Arial" w:hAnsi="Arial" w:cs="Arial"/>
                  <w:sz w:val="22"/>
                  <w:szCs w:val="22"/>
                </w:rPr>
                <w:t>http://www.owasp.org</w:t>
              </w:r>
            </w:hyperlink>
            <w:r w:rsidRPr="00A560FA">
              <w:rPr>
                <w:rFonts w:ascii="Arial" w:hAnsi="Arial" w:cs="Arial"/>
                <w:sz w:val="22"/>
                <w:szCs w:val="22"/>
              </w:rPr>
              <w:t xml:space="preserve">), also include how the </w:t>
            </w:r>
            <w:r w:rsidRPr="00A560FA">
              <w:rPr>
                <w:rFonts w:ascii="Arial" w:hAnsi="Arial" w:cs="Arial"/>
                <w:sz w:val="22"/>
                <w:szCs w:val="22"/>
              </w:rPr>
              <w:lastRenderedPageBreak/>
              <w:t xml:space="preserve">system is protected against common web application vulnerabilities which include but </w:t>
            </w:r>
            <w:r w:rsidR="00D748D7">
              <w:rPr>
                <w:rFonts w:ascii="Arial" w:hAnsi="Arial" w:cs="Arial"/>
                <w:sz w:val="22"/>
                <w:szCs w:val="22"/>
              </w:rPr>
              <w:t xml:space="preserve">are </w:t>
            </w:r>
            <w:r w:rsidRPr="00A560FA">
              <w:rPr>
                <w:rFonts w:ascii="Arial" w:hAnsi="Arial" w:cs="Arial"/>
                <w:sz w:val="22"/>
                <w:szCs w:val="22"/>
              </w:rPr>
              <w:t>not limited to  Cross-site scripting (XSS), SQL injection, CSRF (Cross-site request forgery), and remote code execution.</w:t>
            </w:r>
          </w:p>
          <w:p w14:paraId="685D876A" w14:textId="6ED19D0B" w:rsidR="00075ED0" w:rsidRPr="00644C74" w:rsidRDefault="00075ED0" w:rsidP="00532FF6">
            <w:pPr>
              <w:pStyle w:val="CommentText"/>
              <w:numPr>
                <w:ilvl w:val="1"/>
                <w:numId w:val="56"/>
              </w:numPr>
              <w:ind w:left="342" w:hanging="450"/>
              <w:rPr>
                <w:rFonts w:cs="Arial"/>
              </w:rPr>
            </w:pPr>
            <w:r w:rsidRPr="00A560FA">
              <w:rPr>
                <w:rFonts w:ascii="Arial" w:hAnsi="Arial" w:cs="Arial"/>
                <w:sz w:val="22"/>
                <w:szCs w:val="22"/>
              </w:rPr>
              <w:t xml:space="preserve">Please describe the technical solution the </w:t>
            </w:r>
            <w:r>
              <w:rPr>
                <w:rFonts w:ascii="Arial" w:hAnsi="Arial" w:cs="Arial"/>
                <w:sz w:val="22"/>
                <w:szCs w:val="22"/>
              </w:rPr>
              <w:t>Proposer</w:t>
            </w:r>
            <w:r w:rsidRPr="00A560FA">
              <w:rPr>
                <w:rFonts w:ascii="Arial" w:hAnsi="Arial" w:cs="Arial"/>
                <w:sz w:val="22"/>
                <w:szCs w:val="22"/>
              </w:rPr>
              <w:t xml:space="preserve"> will be implementing to integrate with </w:t>
            </w:r>
            <w:r w:rsidR="00153DE9">
              <w:rPr>
                <w:rFonts w:ascii="Arial" w:hAnsi="Arial" w:cs="Arial"/>
                <w:sz w:val="22"/>
                <w:szCs w:val="22"/>
              </w:rPr>
              <w:t>health and activity tracking</w:t>
            </w:r>
            <w:r w:rsidRPr="00A560FA">
              <w:rPr>
                <w:rFonts w:ascii="Arial" w:hAnsi="Arial" w:cs="Arial"/>
                <w:sz w:val="22"/>
                <w:szCs w:val="22"/>
              </w:rPr>
              <w:t xml:space="preserve"> devices. Please also list the health devices </w:t>
            </w:r>
            <w:r w:rsidR="00D748D7">
              <w:rPr>
                <w:rFonts w:ascii="Arial" w:hAnsi="Arial" w:cs="Arial"/>
                <w:sz w:val="22"/>
                <w:szCs w:val="22"/>
              </w:rPr>
              <w:t xml:space="preserve">with which </w:t>
            </w:r>
            <w:r w:rsidRPr="00A560FA">
              <w:rPr>
                <w:rFonts w:ascii="Arial" w:hAnsi="Arial" w:cs="Arial"/>
                <w:sz w:val="22"/>
                <w:szCs w:val="22"/>
              </w:rPr>
              <w:t xml:space="preserve">the solution can currently integrate and </w:t>
            </w:r>
            <w:r w:rsidR="00D748D7">
              <w:rPr>
                <w:rFonts w:ascii="Arial" w:hAnsi="Arial" w:cs="Arial"/>
                <w:sz w:val="22"/>
                <w:szCs w:val="22"/>
              </w:rPr>
              <w:t xml:space="preserve">Proposer’s </w:t>
            </w:r>
            <w:r w:rsidRPr="00A560FA">
              <w:rPr>
                <w:rFonts w:ascii="Arial" w:hAnsi="Arial" w:cs="Arial"/>
                <w:sz w:val="22"/>
                <w:szCs w:val="22"/>
              </w:rPr>
              <w:t xml:space="preserve">plan to support </w:t>
            </w:r>
            <w:r w:rsidR="00D748D7">
              <w:rPr>
                <w:rFonts w:ascii="Arial" w:hAnsi="Arial" w:cs="Arial"/>
                <w:sz w:val="22"/>
                <w:szCs w:val="22"/>
              </w:rPr>
              <w:t xml:space="preserve">such devices </w:t>
            </w:r>
            <w:r w:rsidRPr="00A560FA">
              <w:rPr>
                <w:rFonts w:ascii="Arial" w:hAnsi="Arial" w:cs="Arial"/>
                <w:sz w:val="22"/>
                <w:szCs w:val="22"/>
              </w:rPr>
              <w:t xml:space="preserve">in the future. Discuss the modularity of the </w:t>
            </w:r>
            <w:r w:rsidR="00532FF6">
              <w:rPr>
                <w:rFonts w:ascii="Arial" w:hAnsi="Arial" w:cs="Arial"/>
                <w:sz w:val="22"/>
                <w:szCs w:val="22"/>
              </w:rPr>
              <w:t>solution</w:t>
            </w:r>
            <w:r w:rsidRPr="00A560FA">
              <w:rPr>
                <w:rFonts w:ascii="Arial" w:hAnsi="Arial" w:cs="Arial"/>
                <w:sz w:val="22"/>
                <w:szCs w:val="22"/>
              </w:rPr>
              <w:t xml:space="preserve"> and the ease of implementing future advances in enabling technologies to integrate with </w:t>
            </w:r>
            <w:r w:rsidR="00153DE9">
              <w:rPr>
                <w:rFonts w:ascii="Arial" w:hAnsi="Arial" w:cs="Arial"/>
                <w:sz w:val="22"/>
                <w:szCs w:val="22"/>
              </w:rPr>
              <w:t>health</w:t>
            </w:r>
            <w:r w:rsidRPr="00A560FA">
              <w:rPr>
                <w:rFonts w:ascii="Arial" w:hAnsi="Arial" w:cs="Arial"/>
                <w:sz w:val="22"/>
                <w:szCs w:val="22"/>
              </w:rPr>
              <w:t xml:space="preserve"> and </w:t>
            </w:r>
            <w:r w:rsidR="00153DE9">
              <w:rPr>
                <w:rFonts w:ascii="Arial" w:hAnsi="Arial" w:cs="Arial"/>
                <w:sz w:val="22"/>
                <w:szCs w:val="22"/>
              </w:rPr>
              <w:t>a</w:t>
            </w:r>
            <w:r w:rsidRPr="00A560FA">
              <w:rPr>
                <w:rFonts w:ascii="Arial" w:hAnsi="Arial" w:cs="Arial"/>
                <w:sz w:val="22"/>
                <w:szCs w:val="22"/>
              </w:rPr>
              <w:t xml:space="preserve">ctivity </w:t>
            </w:r>
            <w:r w:rsidR="00153DE9">
              <w:rPr>
                <w:rFonts w:ascii="Arial" w:hAnsi="Arial" w:cs="Arial"/>
                <w:sz w:val="22"/>
                <w:szCs w:val="22"/>
              </w:rPr>
              <w:t>tracking</w:t>
            </w:r>
            <w:r w:rsidRPr="00A560FA">
              <w:rPr>
                <w:rFonts w:ascii="Arial" w:hAnsi="Arial" w:cs="Arial"/>
                <w:sz w:val="22"/>
                <w:szCs w:val="22"/>
              </w:rPr>
              <w:t xml:space="preserve"> devices. </w:t>
            </w:r>
          </w:p>
        </w:tc>
      </w:tr>
      <w:tr w:rsidR="00075ED0" w:rsidRPr="002505C8" w14:paraId="71605917" w14:textId="77777777" w:rsidTr="00EC4CDD">
        <w:tc>
          <w:tcPr>
            <w:tcW w:w="900" w:type="dxa"/>
            <w:shd w:val="clear" w:color="auto" w:fill="auto"/>
          </w:tcPr>
          <w:p w14:paraId="3C323C59" w14:textId="785EA56C" w:rsidR="00075ED0" w:rsidRDefault="00075ED0" w:rsidP="00EC4CDD">
            <w:pPr>
              <w:pStyle w:val="LRWLBodyText"/>
              <w:rPr>
                <w:rFonts w:cs="Arial"/>
              </w:rPr>
            </w:pPr>
            <w:r>
              <w:rPr>
                <w:rFonts w:cs="Arial"/>
              </w:rPr>
              <w:lastRenderedPageBreak/>
              <w:t>6.4.3</w:t>
            </w:r>
          </w:p>
        </w:tc>
        <w:tc>
          <w:tcPr>
            <w:tcW w:w="8460" w:type="dxa"/>
            <w:shd w:val="clear" w:color="auto" w:fill="auto"/>
          </w:tcPr>
          <w:p w14:paraId="0530E844" w14:textId="167E8591" w:rsidR="00075ED0" w:rsidRPr="00E16336" w:rsidRDefault="00075ED0" w:rsidP="00075ED0">
            <w:pPr>
              <w:pStyle w:val="CommentText"/>
              <w:ind w:left="-108"/>
              <w:rPr>
                <w:rFonts w:ascii="Arial" w:hAnsi="Arial" w:cs="Arial"/>
                <w:b/>
                <w:sz w:val="22"/>
                <w:szCs w:val="22"/>
              </w:rPr>
            </w:pPr>
            <w:r>
              <w:rPr>
                <w:rFonts w:ascii="Arial" w:hAnsi="Arial" w:cs="Arial"/>
                <w:b/>
                <w:sz w:val="22"/>
                <w:szCs w:val="22"/>
              </w:rPr>
              <w:t>User S</w:t>
            </w:r>
            <w:r w:rsidRPr="00E16336">
              <w:rPr>
                <w:rFonts w:ascii="Arial" w:hAnsi="Arial" w:cs="Arial"/>
                <w:b/>
                <w:sz w:val="22"/>
                <w:szCs w:val="22"/>
              </w:rPr>
              <w:t xml:space="preserve">ecurity </w:t>
            </w:r>
            <w:r>
              <w:rPr>
                <w:rFonts w:ascii="Arial" w:hAnsi="Arial" w:cs="Arial"/>
                <w:b/>
                <w:sz w:val="22"/>
                <w:szCs w:val="22"/>
              </w:rPr>
              <w:t>Awareness T</w:t>
            </w:r>
            <w:r w:rsidRPr="00E16336">
              <w:rPr>
                <w:rFonts w:ascii="Arial" w:hAnsi="Arial" w:cs="Arial"/>
                <w:b/>
                <w:sz w:val="22"/>
                <w:szCs w:val="22"/>
              </w:rPr>
              <w:t>raining</w:t>
            </w:r>
          </w:p>
          <w:p w14:paraId="404B3B8A" w14:textId="77777777" w:rsidR="00075ED0" w:rsidRPr="00A560FA" w:rsidRDefault="00075ED0" w:rsidP="00F01E1A">
            <w:pPr>
              <w:pStyle w:val="CommentText"/>
              <w:numPr>
                <w:ilvl w:val="1"/>
                <w:numId w:val="57"/>
              </w:numPr>
              <w:ind w:left="342" w:hanging="450"/>
              <w:rPr>
                <w:rFonts w:ascii="Arial" w:hAnsi="Arial" w:cs="Arial"/>
                <w:sz w:val="22"/>
                <w:szCs w:val="22"/>
              </w:rPr>
            </w:pPr>
            <w:r>
              <w:rPr>
                <w:rFonts w:ascii="Arial" w:hAnsi="Arial" w:cs="Arial"/>
                <w:sz w:val="22"/>
                <w:szCs w:val="22"/>
              </w:rPr>
              <w:t>P</w:t>
            </w:r>
            <w:r w:rsidRPr="00A560FA">
              <w:rPr>
                <w:rFonts w:ascii="Arial" w:hAnsi="Arial" w:cs="Arial"/>
                <w:sz w:val="22"/>
                <w:szCs w:val="22"/>
              </w:rPr>
              <w:t xml:space="preserve">rovide details to explain </w:t>
            </w:r>
            <w:r>
              <w:rPr>
                <w:rFonts w:ascii="Arial" w:hAnsi="Arial" w:cs="Arial"/>
                <w:sz w:val="22"/>
                <w:szCs w:val="22"/>
              </w:rPr>
              <w:t>your</w:t>
            </w:r>
            <w:r w:rsidRPr="00A560FA">
              <w:rPr>
                <w:rFonts w:ascii="Arial" w:hAnsi="Arial" w:cs="Arial"/>
                <w:sz w:val="22"/>
                <w:szCs w:val="22"/>
              </w:rPr>
              <w:t xml:space="preserve"> policies and procedures for user security awareness training for all </w:t>
            </w:r>
            <w:r>
              <w:rPr>
                <w:rFonts w:ascii="Arial" w:hAnsi="Arial" w:cs="Arial"/>
                <w:sz w:val="22"/>
                <w:szCs w:val="22"/>
              </w:rPr>
              <w:t xml:space="preserve">your </w:t>
            </w:r>
            <w:r w:rsidRPr="00A560FA">
              <w:rPr>
                <w:rFonts w:ascii="Arial" w:hAnsi="Arial" w:cs="Arial"/>
                <w:sz w:val="22"/>
                <w:szCs w:val="22"/>
              </w:rPr>
              <w:t>staff.</w:t>
            </w:r>
            <w:r>
              <w:rPr>
                <w:rFonts w:ascii="Arial" w:hAnsi="Arial" w:cs="Arial"/>
                <w:sz w:val="22"/>
                <w:szCs w:val="22"/>
              </w:rPr>
              <w:t xml:space="preserve"> You must</w:t>
            </w:r>
            <w:r w:rsidRPr="00A560FA">
              <w:rPr>
                <w:rFonts w:ascii="Arial" w:hAnsi="Arial" w:cs="Arial"/>
                <w:sz w:val="22"/>
                <w:szCs w:val="22"/>
              </w:rPr>
              <w:t xml:space="preserve"> cover</w:t>
            </w:r>
            <w:r>
              <w:rPr>
                <w:rFonts w:ascii="Arial" w:hAnsi="Arial" w:cs="Arial"/>
                <w:sz w:val="22"/>
                <w:szCs w:val="22"/>
              </w:rPr>
              <w:t>, at a minimum:</w:t>
            </w:r>
          </w:p>
          <w:p w14:paraId="2137F7E0" w14:textId="52E3724B" w:rsidR="00075ED0" w:rsidRPr="00A560FA" w:rsidRDefault="00075ED0" w:rsidP="00F01E1A">
            <w:pPr>
              <w:pStyle w:val="CommentText"/>
              <w:numPr>
                <w:ilvl w:val="2"/>
                <w:numId w:val="63"/>
              </w:numPr>
              <w:ind w:left="702" w:hanging="360"/>
              <w:rPr>
                <w:rFonts w:ascii="Arial" w:hAnsi="Arial" w:cs="Arial"/>
                <w:sz w:val="22"/>
                <w:szCs w:val="22"/>
              </w:rPr>
            </w:pPr>
            <w:r w:rsidRPr="00A560FA">
              <w:rPr>
                <w:rFonts w:ascii="Arial" w:hAnsi="Arial" w:cs="Arial"/>
                <w:sz w:val="22"/>
                <w:szCs w:val="22"/>
              </w:rPr>
              <w:t>Programs used to train employees and content of the programs</w:t>
            </w:r>
            <w:r w:rsidR="0036372A">
              <w:rPr>
                <w:rFonts w:ascii="Arial" w:hAnsi="Arial" w:cs="Arial"/>
                <w:sz w:val="22"/>
                <w:szCs w:val="22"/>
              </w:rPr>
              <w:t>;</w:t>
            </w:r>
          </w:p>
          <w:p w14:paraId="3F331C94" w14:textId="3B92F69D" w:rsidR="00542C98" w:rsidRDefault="00075ED0" w:rsidP="00F01E1A">
            <w:pPr>
              <w:pStyle w:val="CommentText"/>
              <w:numPr>
                <w:ilvl w:val="2"/>
                <w:numId w:val="63"/>
              </w:numPr>
              <w:ind w:left="702" w:hanging="360"/>
              <w:rPr>
                <w:rFonts w:ascii="Arial" w:hAnsi="Arial" w:cs="Arial"/>
                <w:sz w:val="22"/>
                <w:szCs w:val="22"/>
              </w:rPr>
            </w:pPr>
            <w:r w:rsidRPr="00A560FA">
              <w:rPr>
                <w:rFonts w:ascii="Arial" w:hAnsi="Arial" w:cs="Arial"/>
                <w:sz w:val="22"/>
                <w:szCs w:val="22"/>
              </w:rPr>
              <w:t>How often trainings occur</w:t>
            </w:r>
            <w:r w:rsidR="0036372A">
              <w:rPr>
                <w:rFonts w:ascii="Arial" w:hAnsi="Arial" w:cs="Arial"/>
                <w:sz w:val="22"/>
                <w:szCs w:val="22"/>
              </w:rPr>
              <w:t>; and</w:t>
            </w:r>
          </w:p>
          <w:p w14:paraId="6E41E7A3" w14:textId="633BE436" w:rsidR="00075ED0" w:rsidRPr="0036372A" w:rsidRDefault="00542C98" w:rsidP="00F01E1A">
            <w:pPr>
              <w:pStyle w:val="CommentText"/>
              <w:numPr>
                <w:ilvl w:val="2"/>
                <w:numId w:val="63"/>
              </w:numPr>
              <w:ind w:left="702" w:hanging="360"/>
              <w:rPr>
                <w:rFonts w:cs="Arial"/>
              </w:rPr>
            </w:pPr>
            <w:r w:rsidRPr="00A560FA">
              <w:rPr>
                <w:rFonts w:ascii="Arial" w:hAnsi="Arial" w:cs="Arial"/>
                <w:sz w:val="22"/>
                <w:szCs w:val="22"/>
              </w:rPr>
              <w:t>Any processes used to validate that employees are retaining what they learned</w:t>
            </w:r>
            <w:r w:rsidR="0036372A">
              <w:rPr>
                <w:rFonts w:ascii="Arial" w:hAnsi="Arial" w:cs="Arial"/>
                <w:sz w:val="22"/>
                <w:szCs w:val="22"/>
              </w:rPr>
              <w:t>.</w:t>
            </w:r>
          </w:p>
        </w:tc>
      </w:tr>
      <w:tr w:rsidR="00075ED0" w:rsidRPr="002505C8" w14:paraId="77512E28" w14:textId="77777777" w:rsidTr="00EC4CDD">
        <w:tc>
          <w:tcPr>
            <w:tcW w:w="900" w:type="dxa"/>
            <w:shd w:val="clear" w:color="auto" w:fill="auto"/>
          </w:tcPr>
          <w:p w14:paraId="39BAB7DB" w14:textId="20DA024B" w:rsidR="00075ED0" w:rsidRDefault="00075ED0" w:rsidP="00EC4CDD">
            <w:pPr>
              <w:pStyle w:val="LRWLBodyText"/>
              <w:rPr>
                <w:rFonts w:cs="Arial"/>
              </w:rPr>
            </w:pPr>
            <w:r>
              <w:rPr>
                <w:rFonts w:cs="Arial"/>
              </w:rPr>
              <w:t>6.4.4</w:t>
            </w:r>
          </w:p>
        </w:tc>
        <w:tc>
          <w:tcPr>
            <w:tcW w:w="8460" w:type="dxa"/>
            <w:shd w:val="clear" w:color="auto" w:fill="auto"/>
          </w:tcPr>
          <w:p w14:paraId="78BA7D9A" w14:textId="0ED6D87B" w:rsidR="00075ED0" w:rsidRPr="00E16336" w:rsidRDefault="00075ED0" w:rsidP="00075ED0">
            <w:pPr>
              <w:pStyle w:val="CommentText"/>
              <w:ind w:left="-108"/>
              <w:rPr>
                <w:rFonts w:ascii="Arial" w:hAnsi="Arial" w:cs="Arial"/>
                <w:b/>
                <w:sz w:val="22"/>
                <w:szCs w:val="22"/>
              </w:rPr>
            </w:pPr>
            <w:r w:rsidRPr="00E16336">
              <w:rPr>
                <w:rFonts w:ascii="Arial" w:hAnsi="Arial" w:cs="Arial"/>
                <w:b/>
                <w:sz w:val="22"/>
                <w:szCs w:val="22"/>
              </w:rPr>
              <w:t>Account/Identity Management</w:t>
            </w:r>
          </w:p>
          <w:p w14:paraId="25716553" w14:textId="1CE060F0" w:rsidR="00075ED0" w:rsidRPr="00A560FA" w:rsidRDefault="00075ED0" w:rsidP="00F01E1A">
            <w:pPr>
              <w:pStyle w:val="CommentText"/>
              <w:numPr>
                <w:ilvl w:val="1"/>
                <w:numId w:val="58"/>
              </w:numPr>
              <w:ind w:left="342" w:hanging="450"/>
              <w:rPr>
                <w:rFonts w:ascii="Arial" w:hAnsi="Arial" w:cs="Arial"/>
                <w:sz w:val="22"/>
                <w:szCs w:val="22"/>
              </w:rPr>
            </w:pPr>
            <w:r w:rsidRPr="00A560FA">
              <w:rPr>
                <w:rFonts w:ascii="Arial" w:hAnsi="Arial" w:cs="Arial"/>
                <w:sz w:val="22"/>
                <w:szCs w:val="22"/>
              </w:rPr>
              <w:t xml:space="preserve">Describe how the solution will provide for secure access for participants in the system. Describe the user registration process, the association of user accounts to participant information provided by ETF. </w:t>
            </w:r>
            <w:r w:rsidR="00532FF6">
              <w:rPr>
                <w:rFonts w:ascii="Arial" w:hAnsi="Arial" w:cs="Arial"/>
                <w:sz w:val="22"/>
                <w:szCs w:val="22"/>
              </w:rPr>
              <w:t xml:space="preserve">Describe how you </w:t>
            </w:r>
            <w:r w:rsidRPr="00A560FA">
              <w:rPr>
                <w:rFonts w:ascii="Arial" w:hAnsi="Arial" w:cs="Arial"/>
                <w:sz w:val="22"/>
                <w:szCs w:val="22"/>
              </w:rPr>
              <w:t xml:space="preserve">would prevent users </w:t>
            </w:r>
            <w:r w:rsidR="00532FF6">
              <w:rPr>
                <w:rFonts w:ascii="Arial" w:hAnsi="Arial" w:cs="Arial"/>
                <w:sz w:val="22"/>
                <w:szCs w:val="22"/>
              </w:rPr>
              <w:t xml:space="preserve">from </w:t>
            </w:r>
            <w:r w:rsidRPr="00A560FA">
              <w:rPr>
                <w:rFonts w:ascii="Arial" w:hAnsi="Arial" w:cs="Arial"/>
                <w:sz w:val="22"/>
                <w:szCs w:val="22"/>
              </w:rPr>
              <w:t xml:space="preserve">intentionally or </w:t>
            </w:r>
            <w:r w:rsidR="00532FF6">
              <w:rPr>
                <w:rFonts w:ascii="Arial" w:hAnsi="Arial" w:cs="Arial"/>
                <w:sz w:val="22"/>
                <w:szCs w:val="22"/>
              </w:rPr>
              <w:t>unintentionally</w:t>
            </w:r>
            <w:r w:rsidRPr="00A560FA">
              <w:rPr>
                <w:rFonts w:ascii="Arial" w:hAnsi="Arial" w:cs="Arial"/>
                <w:sz w:val="22"/>
                <w:szCs w:val="22"/>
              </w:rPr>
              <w:t xml:space="preserve"> access</w:t>
            </w:r>
            <w:r w:rsidR="00532FF6">
              <w:rPr>
                <w:rFonts w:ascii="Arial" w:hAnsi="Arial" w:cs="Arial"/>
                <w:sz w:val="22"/>
                <w:szCs w:val="22"/>
              </w:rPr>
              <w:t>ing</w:t>
            </w:r>
            <w:r w:rsidRPr="00A560FA">
              <w:rPr>
                <w:rFonts w:ascii="Arial" w:hAnsi="Arial" w:cs="Arial"/>
                <w:sz w:val="22"/>
                <w:szCs w:val="22"/>
              </w:rPr>
              <w:t xml:space="preserve"> other participants</w:t>
            </w:r>
            <w:r w:rsidR="00532FF6">
              <w:rPr>
                <w:rFonts w:ascii="Arial" w:hAnsi="Arial" w:cs="Arial"/>
                <w:sz w:val="22"/>
                <w:szCs w:val="22"/>
              </w:rPr>
              <w:t>’</w:t>
            </w:r>
            <w:r w:rsidRPr="00A560FA">
              <w:rPr>
                <w:rFonts w:ascii="Arial" w:hAnsi="Arial" w:cs="Arial"/>
                <w:sz w:val="22"/>
                <w:szCs w:val="22"/>
              </w:rPr>
              <w:t xml:space="preserve"> information. Describe how the solution is design</w:t>
            </w:r>
            <w:r w:rsidR="00532FF6">
              <w:rPr>
                <w:rFonts w:ascii="Arial" w:hAnsi="Arial" w:cs="Arial"/>
                <w:sz w:val="22"/>
                <w:szCs w:val="22"/>
              </w:rPr>
              <w:t>ed</w:t>
            </w:r>
            <w:r w:rsidRPr="00A560FA">
              <w:rPr>
                <w:rFonts w:ascii="Arial" w:hAnsi="Arial" w:cs="Arial"/>
                <w:sz w:val="22"/>
                <w:szCs w:val="22"/>
              </w:rPr>
              <w:t xml:space="preserve"> to prevent accidental or incidental access. </w:t>
            </w:r>
          </w:p>
          <w:p w14:paraId="0A48D5AE" w14:textId="77777777" w:rsidR="00075ED0" w:rsidRPr="00A560FA" w:rsidRDefault="00075ED0" w:rsidP="00F01E1A">
            <w:pPr>
              <w:pStyle w:val="CommentText"/>
              <w:numPr>
                <w:ilvl w:val="1"/>
                <w:numId w:val="58"/>
              </w:numPr>
              <w:ind w:left="342" w:hanging="450"/>
              <w:rPr>
                <w:rFonts w:ascii="Arial" w:hAnsi="Arial" w:cs="Arial"/>
                <w:sz w:val="22"/>
                <w:szCs w:val="22"/>
              </w:rPr>
            </w:pPr>
            <w:r w:rsidRPr="00A560FA">
              <w:rPr>
                <w:rFonts w:ascii="Arial" w:hAnsi="Arial" w:cs="Arial"/>
                <w:sz w:val="22"/>
                <w:szCs w:val="22"/>
              </w:rPr>
              <w:t xml:space="preserve">Describe the account management and account recovery process. </w:t>
            </w:r>
          </w:p>
          <w:p w14:paraId="7EF726C0" w14:textId="77777777" w:rsidR="00075ED0" w:rsidRPr="00A560FA" w:rsidRDefault="00075ED0" w:rsidP="00F01E1A">
            <w:pPr>
              <w:pStyle w:val="CommentText"/>
              <w:numPr>
                <w:ilvl w:val="1"/>
                <w:numId w:val="58"/>
              </w:numPr>
              <w:ind w:left="342" w:hanging="450"/>
              <w:rPr>
                <w:rFonts w:ascii="Arial" w:hAnsi="Arial" w:cs="Arial"/>
                <w:sz w:val="22"/>
                <w:szCs w:val="22"/>
              </w:rPr>
            </w:pPr>
            <w:r>
              <w:rPr>
                <w:rFonts w:ascii="Arial" w:hAnsi="Arial" w:cs="Arial"/>
                <w:sz w:val="22"/>
                <w:szCs w:val="22"/>
              </w:rPr>
              <w:t>P</w:t>
            </w:r>
            <w:r w:rsidRPr="00A560FA">
              <w:rPr>
                <w:rFonts w:ascii="Arial" w:hAnsi="Arial" w:cs="Arial"/>
                <w:sz w:val="22"/>
                <w:szCs w:val="22"/>
              </w:rPr>
              <w:t xml:space="preserve">rovide details to explain how passwords and user accounts are managed to protect against unauthorized access to any systems or applications.  </w:t>
            </w:r>
            <w:r>
              <w:rPr>
                <w:rFonts w:ascii="Arial" w:hAnsi="Arial" w:cs="Arial"/>
                <w:sz w:val="22"/>
                <w:szCs w:val="22"/>
              </w:rPr>
              <w:t>You must</w:t>
            </w:r>
            <w:r w:rsidRPr="00A560FA">
              <w:rPr>
                <w:rFonts w:ascii="Arial" w:hAnsi="Arial" w:cs="Arial"/>
                <w:sz w:val="22"/>
                <w:szCs w:val="22"/>
              </w:rPr>
              <w:t xml:space="preserve"> cover</w:t>
            </w:r>
            <w:r>
              <w:rPr>
                <w:rFonts w:ascii="Arial" w:hAnsi="Arial" w:cs="Arial"/>
                <w:sz w:val="22"/>
                <w:szCs w:val="22"/>
              </w:rPr>
              <w:t>, at a minimum:</w:t>
            </w:r>
          </w:p>
          <w:p w14:paraId="6A968D95" w14:textId="01BE0C62" w:rsidR="00075ED0" w:rsidRPr="00A560FA" w:rsidRDefault="00075ED0" w:rsidP="00F01E1A">
            <w:pPr>
              <w:pStyle w:val="CommentText"/>
              <w:numPr>
                <w:ilvl w:val="2"/>
                <w:numId w:val="62"/>
              </w:numPr>
              <w:ind w:left="702" w:hanging="360"/>
              <w:rPr>
                <w:rFonts w:ascii="Arial" w:hAnsi="Arial" w:cs="Arial"/>
                <w:sz w:val="22"/>
                <w:szCs w:val="22"/>
              </w:rPr>
            </w:pPr>
            <w:r w:rsidRPr="00A560FA">
              <w:rPr>
                <w:rFonts w:ascii="Arial" w:hAnsi="Arial" w:cs="Arial"/>
                <w:sz w:val="22"/>
                <w:szCs w:val="22"/>
              </w:rPr>
              <w:t>Password complexity req</w:t>
            </w:r>
            <w:r>
              <w:rPr>
                <w:rFonts w:ascii="Arial" w:hAnsi="Arial" w:cs="Arial"/>
                <w:sz w:val="22"/>
                <w:szCs w:val="22"/>
              </w:rPr>
              <w:t>uirements for all accounts (web-</w:t>
            </w:r>
            <w:r w:rsidRPr="00A560FA">
              <w:rPr>
                <w:rFonts w:ascii="Arial" w:hAnsi="Arial" w:cs="Arial"/>
                <w:sz w:val="22"/>
                <w:szCs w:val="22"/>
              </w:rPr>
              <w:t xml:space="preserve">portal user accounts, </w:t>
            </w:r>
            <w:r>
              <w:rPr>
                <w:rFonts w:ascii="Arial" w:hAnsi="Arial" w:cs="Arial"/>
                <w:sz w:val="22"/>
                <w:szCs w:val="22"/>
              </w:rPr>
              <w:t>Proposer</w:t>
            </w:r>
            <w:r w:rsidRPr="00A560FA">
              <w:rPr>
                <w:rFonts w:ascii="Arial" w:hAnsi="Arial" w:cs="Arial"/>
                <w:sz w:val="22"/>
                <w:szCs w:val="22"/>
              </w:rPr>
              <w:t xml:space="preserve"> employee accounts, administrator accounts and service/shared accounts)</w:t>
            </w:r>
            <w:r>
              <w:rPr>
                <w:rFonts w:ascii="Arial" w:hAnsi="Arial" w:cs="Arial"/>
                <w:sz w:val="22"/>
                <w:szCs w:val="22"/>
              </w:rPr>
              <w:t>;</w:t>
            </w:r>
          </w:p>
          <w:p w14:paraId="2CC27475" w14:textId="77777777" w:rsidR="00075ED0" w:rsidRPr="00A560FA" w:rsidRDefault="00075ED0" w:rsidP="00F01E1A">
            <w:pPr>
              <w:pStyle w:val="CommentText"/>
              <w:numPr>
                <w:ilvl w:val="2"/>
                <w:numId w:val="62"/>
              </w:numPr>
              <w:ind w:left="702" w:hanging="360"/>
              <w:rPr>
                <w:rFonts w:ascii="Arial" w:hAnsi="Arial" w:cs="Arial"/>
                <w:sz w:val="22"/>
                <w:szCs w:val="22"/>
              </w:rPr>
            </w:pPr>
            <w:r w:rsidRPr="00A560FA">
              <w:rPr>
                <w:rFonts w:ascii="Arial" w:hAnsi="Arial" w:cs="Arial"/>
                <w:sz w:val="22"/>
                <w:szCs w:val="22"/>
              </w:rPr>
              <w:t>Onboarding process for employees and contractors</w:t>
            </w:r>
            <w:r>
              <w:rPr>
                <w:rFonts w:ascii="Arial" w:hAnsi="Arial" w:cs="Arial"/>
                <w:sz w:val="22"/>
                <w:szCs w:val="22"/>
              </w:rPr>
              <w:t>; and</w:t>
            </w:r>
          </w:p>
          <w:p w14:paraId="3AFA727D" w14:textId="77777777" w:rsidR="00075ED0" w:rsidRPr="00A560FA" w:rsidRDefault="00075ED0" w:rsidP="00F01E1A">
            <w:pPr>
              <w:pStyle w:val="CommentText"/>
              <w:numPr>
                <w:ilvl w:val="2"/>
                <w:numId w:val="62"/>
              </w:numPr>
              <w:ind w:left="702" w:hanging="360"/>
              <w:rPr>
                <w:rFonts w:ascii="Arial" w:hAnsi="Arial" w:cs="Arial"/>
                <w:sz w:val="22"/>
                <w:szCs w:val="22"/>
              </w:rPr>
            </w:pPr>
            <w:r w:rsidRPr="00A560FA">
              <w:rPr>
                <w:rFonts w:ascii="Arial" w:hAnsi="Arial" w:cs="Arial"/>
                <w:sz w:val="22"/>
                <w:szCs w:val="22"/>
              </w:rPr>
              <w:t>Off boarding process for employees and contractors</w:t>
            </w:r>
            <w:r>
              <w:rPr>
                <w:rFonts w:ascii="Arial" w:hAnsi="Arial" w:cs="Arial"/>
                <w:sz w:val="22"/>
                <w:szCs w:val="22"/>
              </w:rPr>
              <w:t>.</w:t>
            </w:r>
          </w:p>
          <w:p w14:paraId="4B2C2340" w14:textId="57382C29" w:rsidR="00075ED0" w:rsidRPr="00644C74" w:rsidRDefault="00075ED0" w:rsidP="00F01E1A">
            <w:pPr>
              <w:pStyle w:val="CommentText"/>
              <w:numPr>
                <w:ilvl w:val="1"/>
                <w:numId w:val="58"/>
              </w:numPr>
              <w:ind w:left="342" w:hanging="450"/>
              <w:rPr>
                <w:rFonts w:cs="Arial"/>
              </w:rPr>
            </w:pPr>
            <w:r w:rsidRPr="00A560FA">
              <w:rPr>
                <w:rFonts w:ascii="Arial" w:hAnsi="Arial" w:cs="Arial"/>
                <w:sz w:val="22"/>
                <w:szCs w:val="22"/>
              </w:rPr>
              <w:t>Describe the technical solution and the authentication standards that will be implemented to integrate with other third party providers such as but not limited to Fitbit, Garmin, Jawbone or other activity tracker or mobile application(s) specified by ETF</w:t>
            </w:r>
            <w:r>
              <w:rPr>
                <w:rFonts w:ascii="Arial" w:hAnsi="Arial" w:cs="Arial"/>
                <w:sz w:val="22"/>
                <w:szCs w:val="22"/>
              </w:rPr>
              <w:t>.</w:t>
            </w:r>
          </w:p>
        </w:tc>
      </w:tr>
      <w:tr w:rsidR="00075ED0" w:rsidRPr="002505C8" w14:paraId="7F6A234C" w14:textId="77777777" w:rsidTr="00EC4CDD">
        <w:tc>
          <w:tcPr>
            <w:tcW w:w="900" w:type="dxa"/>
            <w:shd w:val="clear" w:color="auto" w:fill="auto"/>
          </w:tcPr>
          <w:p w14:paraId="55E37700" w14:textId="1CECA7A4" w:rsidR="00075ED0" w:rsidRDefault="004B221D" w:rsidP="00EC4CDD">
            <w:pPr>
              <w:pStyle w:val="LRWLBodyText"/>
              <w:rPr>
                <w:rFonts w:cs="Arial"/>
              </w:rPr>
            </w:pPr>
            <w:r>
              <w:rPr>
                <w:rFonts w:cs="Arial"/>
              </w:rPr>
              <w:t>6.4.5</w:t>
            </w:r>
          </w:p>
        </w:tc>
        <w:tc>
          <w:tcPr>
            <w:tcW w:w="8460" w:type="dxa"/>
            <w:shd w:val="clear" w:color="auto" w:fill="auto"/>
          </w:tcPr>
          <w:p w14:paraId="33285AAE" w14:textId="01A13C8B" w:rsidR="00075ED0" w:rsidRPr="00E16336" w:rsidRDefault="00BD1C21" w:rsidP="00075ED0">
            <w:pPr>
              <w:pStyle w:val="CommentText"/>
              <w:ind w:left="-108"/>
              <w:rPr>
                <w:rFonts w:ascii="Arial" w:hAnsi="Arial" w:cs="Arial"/>
                <w:b/>
                <w:sz w:val="22"/>
                <w:szCs w:val="22"/>
              </w:rPr>
            </w:pPr>
            <w:r>
              <w:rPr>
                <w:rFonts w:ascii="Arial" w:hAnsi="Arial" w:cs="Arial"/>
                <w:b/>
                <w:sz w:val="22"/>
                <w:szCs w:val="22"/>
              </w:rPr>
              <w:t>Auditing and Logging</w:t>
            </w:r>
          </w:p>
          <w:p w14:paraId="2E2B849A" w14:textId="0B009DED" w:rsidR="00075ED0" w:rsidRPr="00A560FA" w:rsidRDefault="00075ED0" w:rsidP="0036372A">
            <w:pPr>
              <w:pStyle w:val="CommentText"/>
              <w:numPr>
                <w:ilvl w:val="3"/>
                <w:numId w:val="13"/>
              </w:numPr>
              <w:ind w:left="342" w:hanging="450"/>
              <w:rPr>
                <w:rFonts w:ascii="Arial" w:hAnsi="Arial" w:cs="Arial"/>
                <w:sz w:val="22"/>
                <w:szCs w:val="22"/>
              </w:rPr>
            </w:pPr>
            <w:r>
              <w:rPr>
                <w:rFonts w:ascii="Arial" w:hAnsi="Arial" w:cs="Arial"/>
                <w:sz w:val="22"/>
                <w:szCs w:val="22"/>
              </w:rPr>
              <w:t xml:space="preserve">Describe in detail your </w:t>
            </w:r>
            <w:r w:rsidRPr="00A560FA">
              <w:rPr>
                <w:rFonts w:ascii="Arial" w:hAnsi="Arial" w:cs="Arial"/>
                <w:sz w:val="22"/>
                <w:szCs w:val="22"/>
              </w:rPr>
              <w:t xml:space="preserve">logging and auditing policies and procedures. </w:t>
            </w:r>
            <w:r>
              <w:rPr>
                <w:rFonts w:ascii="Arial" w:hAnsi="Arial" w:cs="Arial"/>
                <w:sz w:val="22"/>
                <w:szCs w:val="22"/>
              </w:rPr>
              <w:t>You must</w:t>
            </w:r>
            <w:r w:rsidRPr="00A560FA">
              <w:rPr>
                <w:rFonts w:ascii="Arial" w:hAnsi="Arial" w:cs="Arial"/>
                <w:sz w:val="22"/>
                <w:szCs w:val="22"/>
              </w:rPr>
              <w:t xml:space="preserve"> cover</w:t>
            </w:r>
            <w:r>
              <w:rPr>
                <w:rFonts w:ascii="Arial" w:hAnsi="Arial" w:cs="Arial"/>
                <w:sz w:val="22"/>
                <w:szCs w:val="22"/>
              </w:rPr>
              <w:t>, at a minimum:</w:t>
            </w:r>
          </w:p>
          <w:p w14:paraId="568AD50C" w14:textId="5EB82BC4" w:rsidR="00075ED0" w:rsidRPr="00A560FA" w:rsidRDefault="00075ED0" w:rsidP="00F01E1A">
            <w:pPr>
              <w:pStyle w:val="CommentText"/>
              <w:numPr>
                <w:ilvl w:val="0"/>
                <w:numId w:val="60"/>
              </w:numPr>
              <w:rPr>
                <w:rFonts w:ascii="Arial" w:hAnsi="Arial" w:cs="Arial"/>
                <w:sz w:val="22"/>
                <w:szCs w:val="22"/>
              </w:rPr>
            </w:pPr>
            <w:r w:rsidRPr="00A560FA">
              <w:rPr>
                <w:rFonts w:ascii="Arial" w:hAnsi="Arial" w:cs="Arial"/>
                <w:sz w:val="22"/>
                <w:szCs w:val="22"/>
              </w:rPr>
              <w:t>R</w:t>
            </w:r>
            <w:r>
              <w:rPr>
                <w:rFonts w:ascii="Arial" w:hAnsi="Arial" w:cs="Arial"/>
                <w:sz w:val="22"/>
                <w:szCs w:val="22"/>
              </w:rPr>
              <w:t>ecord of who did what and when;</w:t>
            </w:r>
          </w:p>
          <w:p w14:paraId="271C03AE" w14:textId="77777777" w:rsidR="00075ED0" w:rsidRPr="00A560FA" w:rsidRDefault="00075ED0" w:rsidP="00F01E1A">
            <w:pPr>
              <w:pStyle w:val="CommentText"/>
              <w:numPr>
                <w:ilvl w:val="0"/>
                <w:numId w:val="60"/>
              </w:numPr>
              <w:rPr>
                <w:rFonts w:ascii="Arial" w:hAnsi="Arial" w:cs="Arial"/>
                <w:sz w:val="22"/>
                <w:szCs w:val="22"/>
              </w:rPr>
            </w:pPr>
            <w:r>
              <w:rPr>
                <w:rFonts w:ascii="Arial" w:hAnsi="Arial" w:cs="Arial"/>
                <w:sz w:val="22"/>
                <w:szCs w:val="22"/>
              </w:rPr>
              <w:t>Log retention;</w:t>
            </w:r>
          </w:p>
          <w:p w14:paraId="78C5E746" w14:textId="77777777" w:rsidR="00075ED0" w:rsidRPr="00A560FA" w:rsidRDefault="00075ED0" w:rsidP="00F01E1A">
            <w:pPr>
              <w:pStyle w:val="CommentText"/>
              <w:numPr>
                <w:ilvl w:val="0"/>
                <w:numId w:val="60"/>
              </w:numPr>
              <w:rPr>
                <w:rFonts w:ascii="Arial" w:hAnsi="Arial" w:cs="Arial"/>
                <w:sz w:val="22"/>
                <w:szCs w:val="22"/>
              </w:rPr>
            </w:pPr>
            <w:r>
              <w:rPr>
                <w:rFonts w:ascii="Arial" w:hAnsi="Arial" w:cs="Arial"/>
                <w:sz w:val="22"/>
                <w:szCs w:val="22"/>
              </w:rPr>
              <w:lastRenderedPageBreak/>
              <w:t>Logging practices;</w:t>
            </w:r>
          </w:p>
          <w:p w14:paraId="5B466A0E" w14:textId="77777777" w:rsidR="00075ED0" w:rsidRPr="00A560FA" w:rsidRDefault="00075ED0" w:rsidP="00F01E1A">
            <w:pPr>
              <w:pStyle w:val="CommentText"/>
              <w:numPr>
                <w:ilvl w:val="0"/>
                <w:numId w:val="60"/>
              </w:numPr>
              <w:rPr>
                <w:rFonts w:ascii="Arial" w:hAnsi="Arial" w:cs="Arial"/>
                <w:sz w:val="22"/>
                <w:szCs w:val="22"/>
              </w:rPr>
            </w:pPr>
            <w:r w:rsidRPr="00A560FA">
              <w:rPr>
                <w:rFonts w:ascii="Arial" w:hAnsi="Arial" w:cs="Arial"/>
                <w:sz w:val="22"/>
                <w:szCs w:val="22"/>
              </w:rPr>
              <w:t>Syslog or Security Informati</w:t>
            </w:r>
            <w:r>
              <w:rPr>
                <w:rFonts w:ascii="Arial" w:hAnsi="Arial" w:cs="Arial"/>
                <w:sz w:val="22"/>
                <w:szCs w:val="22"/>
              </w:rPr>
              <w:t>on and Event Management (SIEM);</w:t>
            </w:r>
          </w:p>
          <w:p w14:paraId="375F7E38" w14:textId="77777777" w:rsidR="00075ED0" w:rsidRPr="00A560FA" w:rsidRDefault="00075ED0" w:rsidP="00F01E1A">
            <w:pPr>
              <w:pStyle w:val="CommentText"/>
              <w:numPr>
                <w:ilvl w:val="0"/>
                <w:numId w:val="60"/>
              </w:numPr>
              <w:rPr>
                <w:rFonts w:ascii="Arial" w:hAnsi="Arial" w:cs="Arial"/>
                <w:sz w:val="22"/>
                <w:szCs w:val="22"/>
              </w:rPr>
            </w:pPr>
            <w:r w:rsidRPr="00A560FA">
              <w:rPr>
                <w:rFonts w:ascii="Arial" w:hAnsi="Arial" w:cs="Arial"/>
                <w:sz w:val="22"/>
                <w:szCs w:val="22"/>
              </w:rPr>
              <w:t>Auditing practices and procedures in each area of technology (web, application, operating syste</w:t>
            </w:r>
            <w:r>
              <w:rPr>
                <w:rFonts w:ascii="Arial" w:hAnsi="Arial" w:cs="Arial"/>
                <w:sz w:val="22"/>
                <w:szCs w:val="22"/>
              </w:rPr>
              <w:t>m, database);</w:t>
            </w:r>
          </w:p>
          <w:p w14:paraId="6579E9BB" w14:textId="77777777" w:rsidR="00075ED0" w:rsidRPr="00A560FA" w:rsidRDefault="00075ED0" w:rsidP="00F01E1A">
            <w:pPr>
              <w:pStyle w:val="CommentText"/>
              <w:numPr>
                <w:ilvl w:val="0"/>
                <w:numId w:val="60"/>
              </w:numPr>
              <w:rPr>
                <w:rFonts w:ascii="Arial" w:hAnsi="Arial" w:cs="Arial"/>
                <w:sz w:val="22"/>
                <w:szCs w:val="22"/>
              </w:rPr>
            </w:pPr>
            <w:r w:rsidRPr="00A560FA">
              <w:rPr>
                <w:rFonts w:ascii="Arial" w:hAnsi="Arial" w:cs="Arial"/>
                <w:sz w:val="22"/>
                <w:szCs w:val="22"/>
              </w:rPr>
              <w:t>U</w:t>
            </w:r>
            <w:r>
              <w:rPr>
                <w:rFonts w:ascii="Arial" w:hAnsi="Arial" w:cs="Arial"/>
                <w:sz w:val="22"/>
                <w:szCs w:val="22"/>
              </w:rPr>
              <w:t>ser and administrator auditing;</w:t>
            </w:r>
          </w:p>
          <w:p w14:paraId="11089E67" w14:textId="77777777" w:rsidR="00075ED0" w:rsidRPr="00A560FA" w:rsidRDefault="00075ED0" w:rsidP="00F01E1A">
            <w:pPr>
              <w:pStyle w:val="CommentText"/>
              <w:numPr>
                <w:ilvl w:val="0"/>
                <w:numId w:val="60"/>
              </w:numPr>
              <w:rPr>
                <w:rFonts w:ascii="Arial" w:hAnsi="Arial" w:cs="Arial"/>
                <w:sz w:val="22"/>
                <w:szCs w:val="22"/>
              </w:rPr>
            </w:pPr>
            <w:r w:rsidRPr="00A560FA">
              <w:rPr>
                <w:rFonts w:ascii="Arial" w:hAnsi="Arial" w:cs="Arial"/>
                <w:sz w:val="22"/>
                <w:szCs w:val="22"/>
              </w:rPr>
              <w:t>Serv</w:t>
            </w:r>
            <w:r>
              <w:rPr>
                <w:rFonts w:ascii="Arial" w:hAnsi="Arial" w:cs="Arial"/>
                <w:sz w:val="22"/>
                <w:szCs w:val="22"/>
              </w:rPr>
              <w:t>ice or shared account auditing;</w:t>
            </w:r>
          </w:p>
          <w:p w14:paraId="12B18560" w14:textId="77777777" w:rsidR="00075ED0" w:rsidRPr="00A560FA" w:rsidRDefault="00075ED0" w:rsidP="00F01E1A">
            <w:pPr>
              <w:pStyle w:val="CommentText"/>
              <w:numPr>
                <w:ilvl w:val="0"/>
                <w:numId w:val="60"/>
              </w:numPr>
              <w:rPr>
                <w:rFonts w:ascii="Arial" w:hAnsi="Arial" w:cs="Arial"/>
                <w:sz w:val="22"/>
                <w:szCs w:val="22"/>
              </w:rPr>
            </w:pPr>
            <w:r w:rsidRPr="00A560FA">
              <w:rPr>
                <w:rFonts w:ascii="Arial" w:hAnsi="Arial" w:cs="Arial"/>
                <w:sz w:val="22"/>
                <w:szCs w:val="22"/>
              </w:rPr>
              <w:t>Audit history reporting pr</w:t>
            </w:r>
            <w:r>
              <w:rPr>
                <w:rFonts w:ascii="Arial" w:hAnsi="Arial" w:cs="Arial"/>
                <w:sz w:val="22"/>
                <w:szCs w:val="22"/>
              </w:rPr>
              <w:t>actices to clients, such as ETF; and</w:t>
            </w:r>
          </w:p>
          <w:p w14:paraId="12591AE9" w14:textId="436C2DD2" w:rsidR="00075ED0" w:rsidRPr="00644C74" w:rsidRDefault="00075ED0" w:rsidP="00F01E1A">
            <w:pPr>
              <w:pStyle w:val="CommentText"/>
              <w:numPr>
                <w:ilvl w:val="0"/>
                <w:numId w:val="60"/>
              </w:numPr>
              <w:rPr>
                <w:rFonts w:cs="Arial"/>
              </w:rPr>
            </w:pPr>
            <w:r w:rsidRPr="00A560FA">
              <w:rPr>
                <w:rFonts w:ascii="Arial" w:hAnsi="Arial" w:cs="Arial"/>
                <w:sz w:val="22"/>
                <w:szCs w:val="22"/>
              </w:rPr>
              <w:t xml:space="preserve">Cooperation practices with clients to do forensics for security incident response situations. </w:t>
            </w:r>
          </w:p>
        </w:tc>
      </w:tr>
      <w:tr w:rsidR="00075ED0" w:rsidRPr="002505C8" w14:paraId="5A863693" w14:textId="77777777" w:rsidTr="00EC4CDD">
        <w:tc>
          <w:tcPr>
            <w:tcW w:w="900" w:type="dxa"/>
            <w:shd w:val="clear" w:color="auto" w:fill="auto"/>
          </w:tcPr>
          <w:p w14:paraId="6C50A22F" w14:textId="4C5B9F7E" w:rsidR="00075ED0" w:rsidRDefault="004B221D" w:rsidP="00EC4CDD">
            <w:pPr>
              <w:pStyle w:val="LRWLBodyText"/>
              <w:rPr>
                <w:rFonts w:cs="Arial"/>
              </w:rPr>
            </w:pPr>
            <w:r>
              <w:rPr>
                <w:rFonts w:cs="Arial"/>
              </w:rPr>
              <w:lastRenderedPageBreak/>
              <w:t>6.4.6</w:t>
            </w:r>
          </w:p>
        </w:tc>
        <w:tc>
          <w:tcPr>
            <w:tcW w:w="8460" w:type="dxa"/>
            <w:shd w:val="clear" w:color="auto" w:fill="auto"/>
          </w:tcPr>
          <w:p w14:paraId="7008AD6D" w14:textId="219C53E6" w:rsidR="00075ED0" w:rsidRPr="00E16336" w:rsidRDefault="00075ED0" w:rsidP="00542C98">
            <w:pPr>
              <w:pStyle w:val="CommentText"/>
              <w:ind w:left="-108"/>
              <w:rPr>
                <w:rFonts w:ascii="Arial" w:hAnsi="Arial" w:cs="Arial"/>
                <w:b/>
                <w:sz w:val="22"/>
                <w:szCs w:val="22"/>
              </w:rPr>
            </w:pPr>
            <w:r w:rsidRPr="00E16336">
              <w:rPr>
                <w:rFonts w:ascii="Arial" w:hAnsi="Arial" w:cs="Arial"/>
                <w:b/>
                <w:sz w:val="22"/>
                <w:szCs w:val="22"/>
              </w:rPr>
              <w:t xml:space="preserve">Vulnerability </w:t>
            </w:r>
            <w:r>
              <w:rPr>
                <w:rFonts w:ascii="Arial" w:hAnsi="Arial" w:cs="Arial"/>
                <w:b/>
                <w:sz w:val="22"/>
                <w:szCs w:val="22"/>
              </w:rPr>
              <w:t>M</w:t>
            </w:r>
            <w:r w:rsidRPr="00E16336">
              <w:rPr>
                <w:rFonts w:ascii="Arial" w:hAnsi="Arial" w:cs="Arial"/>
                <w:b/>
                <w:sz w:val="22"/>
                <w:szCs w:val="22"/>
              </w:rPr>
              <w:t>anagement and Penetration Testing</w:t>
            </w:r>
          </w:p>
          <w:p w14:paraId="17F22C55" w14:textId="682437A6" w:rsidR="00075ED0" w:rsidRPr="00A560FA" w:rsidRDefault="00075ED0" w:rsidP="00F01E1A">
            <w:pPr>
              <w:pStyle w:val="CommentText"/>
              <w:numPr>
                <w:ilvl w:val="0"/>
                <w:numId w:val="59"/>
              </w:numPr>
              <w:ind w:left="342" w:hanging="450"/>
              <w:rPr>
                <w:rFonts w:ascii="Arial" w:hAnsi="Arial" w:cs="Arial"/>
                <w:sz w:val="22"/>
                <w:szCs w:val="22"/>
              </w:rPr>
            </w:pPr>
            <w:r>
              <w:rPr>
                <w:rFonts w:ascii="Arial" w:hAnsi="Arial" w:cs="Arial"/>
                <w:sz w:val="22"/>
                <w:szCs w:val="22"/>
              </w:rPr>
              <w:t xml:space="preserve">Provide details of your </w:t>
            </w:r>
            <w:r w:rsidRPr="00A560FA">
              <w:rPr>
                <w:rFonts w:ascii="Arial" w:hAnsi="Arial" w:cs="Arial"/>
                <w:sz w:val="22"/>
                <w:szCs w:val="22"/>
              </w:rPr>
              <w:t>vulnerability management program and penetration testing practices a</w:t>
            </w:r>
            <w:r>
              <w:rPr>
                <w:rFonts w:ascii="Arial" w:hAnsi="Arial" w:cs="Arial"/>
                <w:sz w:val="22"/>
                <w:szCs w:val="22"/>
              </w:rPr>
              <w:t>nd procedures. You must cover, at a minimum:</w:t>
            </w:r>
          </w:p>
          <w:p w14:paraId="409B6490" w14:textId="33073CB9" w:rsidR="00075ED0" w:rsidRPr="00A560FA" w:rsidRDefault="00075ED0" w:rsidP="00F01E1A">
            <w:pPr>
              <w:pStyle w:val="CommentText"/>
              <w:numPr>
                <w:ilvl w:val="0"/>
                <w:numId w:val="61"/>
              </w:numPr>
              <w:ind w:left="1062"/>
              <w:rPr>
                <w:rFonts w:ascii="Arial" w:hAnsi="Arial" w:cs="Arial"/>
                <w:sz w:val="22"/>
                <w:szCs w:val="22"/>
              </w:rPr>
            </w:pPr>
            <w:r w:rsidRPr="00A560FA">
              <w:rPr>
                <w:rFonts w:ascii="Arial" w:hAnsi="Arial" w:cs="Arial"/>
                <w:sz w:val="22"/>
                <w:szCs w:val="22"/>
              </w:rPr>
              <w:t>Vulnerability scanning practices</w:t>
            </w:r>
            <w:r>
              <w:rPr>
                <w:rFonts w:ascii="Arial" w:hAnsi="Arial" w:cs="Arial"/>
                <w:sz w:val="22"/>
                <w:szCs w:val="22"/>
              </w:rPr>
              <w:t>;</w:t>
            </w:r>
          </w:p>
          <w:p w14:paraId="246DBE2F" w14:textId="77777777" w:rsidR="00075ED0" w:rsidRPr="00A560FA" w:rsidRDefault="00075ED0" w:rsidP="00F01E1A">
            <w:pPr>
              <w:pStyle w:val="CommentText"/>
              <w:numPr>
                <w:ilvl w:val="0"/>
                <w:numId w:val="61"/>
              </w:numPr>
              <w:ind w:left="1062"/>
              <w:rPr>
                <w:rFonts w:ascii="Arial" w:hAnsi="Arial" w:cs="Arial"/>
                <w:sz w:val="22"/>
                <w:szCs w:val="22"/>
              </w:rPr>
            </w:pPr>
            <w:r>
              <w:rPr>
                <w:rFonts w:ascii="Arial" w:hAnsi="Arial" w:cs="Arial"/>
                <w:sz w:val="22"/>
                <w:szCs w:val="22"/>
              </w:rPr>
              <w:t>Vulnerability scanner tools;</w:t>
            </w:r>
          </w:p>
          <w:p w14:paraId="2125CAB2" w14:textId="77777777" w:rsidR="00075ED0" w:rsidRPr="00A560FA" w:rsidRDefault="00075ED0" w:rsidP="00F01E1A">
            <w:pPr>
              <w:pStyle w:val="CommentText"/>
              <w:numPr>
                <w:ilvl w:val="0"/>
                <w:numId w:val="61"/>
              </w:numPr>
              <w:ind w:left="1062"/>
              <w:rPr>
                <w:rFonts w:ascii="Arial" w:hAnsi="Arial" w:cs="Arial"/>
                <w:sz w:val="22"/>
                <w:szCs w:val="22"/>
              </w:rPr>
            </w:pPr>
            <w:r w:rsidRPr="00A560FA">
              <w:rPr>
                <w:rFonts w:ascii="Arial" w:hAnsi="Arial" w:cs="Arial"/>
                <w:sz w:val="22"/>
                <w:szCs w:val="22"/>
              </w:rPr>
              <w:t>Remediation practices</w:t>
            </w:r>
            <w:r>
              <w:rPr>
                <w:rFonts w:ascii="Arial" w:hAnsi="Arial" w:cs="Arial"/>
                <w:sz w:val="22"/>
                <w:szCs w:val="22"/>
              </w:rPr>
              <w:t>;</w:t>
            </w:r>
          </w:p>
          <w:p w14:paraId="41DDDC4A" w14:textId="77777777" w:rsidR="00075ED0" w:rsidRPr="00A560FA" w:rsidRDefault="00075ED0" w:rsidP="00F01E1A">
            <w:pPr>
              <w:pStyle w:val="CommentText"/>
              <w:numPr>
                <w:ilvl w:val="0"/>
                <w:numId w:val="61"/>
              </w:numPr>
              <w:ind w:left="1062"/>
              <w:rPr>
                <w:rFonts w:ascii="Arial" w:hAnsi="Arial" w:cs="Arial"/>
                <w:sz w:val="22"/>
                <w:szCs w:val="22"/>
              </w:rPr>
            </w:pPr>
            <w:r w:rsidRPr="00A560FA">
              <w:rPr>
                <w:rFonts w:ascii="Arial" w:hAnsi="Arial" w:cs="Arial"/>
                <w:sz w:val="22"/>
                <w:szCs w:val="22"/>
              </w:rPr>
              <w:t>Vulnerability reporting policy and practices to clients, such as ETF</w:t>
            </w:r>
            <w:r>
              <w:rPr>
                <w:rFonts w:ascii="Arial" w:hAnsi="Arial" w:cs="Arial"/>
                <w:sz w:val="22"/>
                <w:szCs w:val="22"/>
              </w:rPr>
              <w:t>;</w:t>
            </w:r>
          </w:p>
          <w:p w14:paraId="7758E39D" w14:textId="77777777" w:rsidR="00075ED0" w:rsidRPr="00A560FA" w:rsidRDefault="00075ED0" w:rsidP="00F01E1A">
            <w:pPr>
              <w:pStyle w:val="CommentText"/>
              <w:numPr>
                <w:ilvl w:val="0"/>
                <w:numId w:val="61"/>
              </w:numPr>
              <w:ind w:left="1062"/>
              <w:rPr>
                <w:rFonts w:ascii="Arial" w:hAnsi="Arial" w:cs="Arial"/>
                <w:sz w:val="22"/>
                <w:szCs w:val="22"/>
              </w:rPr>
            </w:pPr>
            <w:r w:rsidRPr="00A560FA">
              <w:rPr>
                <w:rFonts w:ascii="Arial" w:hAnsi="Arial" w:cs="Arial"/>
                <w:sz w:val="22"/>
                <w:szCs w:val="22"/>
              </w:rPr>
              <w:t>Penetration testing practices</w:t>
            </w:r>
            <w:r>
              <w:rPr>
                <w:rFonts w:ascii="Arial" w:hAnsi="Arial" w:cs="Arial"/>
                <w:sz w:val="22"/>
                <w:szCs w:val="22"/>
              </w:rPr>
              <w:t>;</w:t>
            </w:r>
          </w:p>
          <w:p w14:paraId="2820EAFC" w14:textId="77777777" w:rsidR="00075ED0" w:rsidRPr="00A560FA" w:rsidRDefault="00075ED0" w:rsidP="00F01E1A">
            <w:pPr>
              <w:pStyle w:val="CommentText"/>
              <w:numPr>
                <w:ilvl w:val="0"/>
                <w:numId w:val="61"/>
              </w:numPr>
              <w:ind w:left="1062"/>
              <w:rPr>
                <w:rFonts w:ascii="Arial" w:hAnsi="Arial" w:cs="Arial"/>
                <w:sz w:val="22"/>
                <w:szCs w:val="22"/>
              </w:rPr>
            </w:pPr>
            <w:r w:rsidRPr="00A560FA">
              <w:rPr>
                <w:rFonts w:ascii="Arial" w:hAnsi="Arial" w:cs="Arial"/>
                <w:sz w:val="22"/>
                <w:szCs w:val="22"/>
              </w:rPr>
              <w:t>Depth of the penetrating tests, such as, how much is done (social engineering, password cracking, Denial of Service (DOS), etc.)</w:t>
            </w:r>
            <w:r>
              <w:rPr>
                <w:rFonts w:ascii="Arial" w:hAnsi="Arial" w:cs="Arial"/>
                <w:sz w:val="22"/>
                <w:szCs w:val="22"/>
              </w:rPr>
              <w:t>; and</w:t>
            </w:r>
          </w:p>
          <w:p w14:paraId="6C6ADBFC" w14:textId="50F8ECC0" w:rsidR="00075ED0" w:rsidRPr="00644C74" w:rsidRDefault="00075ED0" w:rsidP="00F01E1A">
            <w:pPr>
              <w:pStyle w:val="CommentText"/>
              <w:numPr>
                <w:ilvl w:val="0"/>
                <w:numId w:val="61"/>
              </w:numPr>
              <w:ind w:left="1062"/>
              <w:rPr>
                <w:rFonts w:cs="Arial"/>
              </w:rPr>
            </w:pPr>
            <w:r w:rsidRPr="00A560FA">
              <w:rPr>
                <w:rFonts w:ascii="Arial" w:hAnsi="Arial" w:cs="Arial"/>
                <w:sz w:val="22"/>
                <w:szCs w:val="22"/>
              </w:rPr>
              <w:t>Penetration testing reporting policy and practices to clients, such as ETF</w:t>
            </w:r>
            <w:r>
              <w:rPr>
                <w:rFonts w:ascii="Arial" w:hAnsi="Arial" w:cs="Arial"/>
                <w:sz w:val="22"/>
                <w:szCs w:val="22"/>
              </w:rPr>
              <w:t>.</w:t>
            </w:r>
          </w:p>
        </w:tc>
      </w:tr>
      <w:tr w:rsidR="00C24B6B" w:rsidRPr="002505C8" w14:paraId="2921758F" w14:textId="77777777" w:rsidTr="00EC4CDD">
        <w:tc>
          <w:tcPr>
            <w:tcW w:w="900" w:type="dxa"/>
            <w:shd w:val="clear" w:color="auto" w:fill="auto"/>
          </w:tcPr>
          <w:p w14:paraId="0CE93DC8" w14:textId="68F9BAE9" w:rsidR="00C24B6B" w:rsidRPr="000F481B" w:rsidRDefault="001E29E4" w:rsidP="00EC4CDD">
            <w:pPr>
              <w:pStyle w:val="LRWLBodyText"/>
              <w:rPr>
                <w:rFonts w:cs="Arial"/>
              </w:rPr>
            </w:pPr>
            <w:r>
              <w:rPr>
                <w:rFonts w:cs="Arial"/>
              </w:rPr>
              <w:t>6.4.</w:t>
            </w:r>
            <w:r w:rsidR="00075ED0">
              <w:rPr>
                <w:rFonts w:cs="Arial"/>
              </w:rPr>
              <w:t>7</w:t>
            </w:r>
          </w:p>
        </w:tc>
        <w:tc>
          <w:tcPr>
            <w:tcW w:w="8460" w:type="dxa"/>
            <w:shd w:val="clear" w:color="auto" w:fill="auto"/>
          </w:tcPr>
          <w:p w14:paraId="2AE650B2" w14:textId="77777777" w:rsidR="004B221D" w:rsidRPr="005D4F88" w:rsidRDefault="004B221D" w:rsidP="004B221D">
            <w:pPr>
              <w:pStyle w:val="LRWLBodyText"/>
              <w:ind w:left="-108"/>
              <w:rPr>
                <w:rFonts w:cs="Arial"/>
                <w:b/>
              </w:rPr>
            </w:pPr>
            <w:r w:rsidRPr="005D4F88">
              <w:rPr>
                <w:rFonts w:cs="Arial"/>
                <w:b/>
              </w:rPr>
              <w:t>HIPAA Security</w:t>
            </w:r>
          </w:p>
          <w:p w14:paraId="6AF3E191" w14:textId="35448C2E" w:rsidR="00C24B6B" w:rsidRPr="002505C8" w:rsidRDefault="004B221D" w:rsidP="004B221D">
            <w:pPr>
              <w:pStyle w:val="LRWLBodyText"/>
              <w:tabs>
                <w:tab w:val="left" w:pos="342"/>
              </w:tabs>
              <w:ind w:left="342" w:hanging="450"/>
              <w:rPr>
                <w:rFonts w:cs="Arial"/>
                <w:highlight w:val="green"/>
              </w:rPr>
            </w:pPr>
            <w:r>
              <w:rPr>
                <w:rFonts w:cs="Arial"/>
              </w:rPr>
              <w:t xml:space="preserve">A.   </w:t>
            </w:r>
            <w:r w:rsidR="00C24B6B" w:rsidRPr="00644C74">
              <w:rPr>
                <w:rFonts w:cs="Arial"/>
              </w:rPr>
              <w:t xml:space="preserve">Describe how </w:t>
            </w:r>
            <w:r w:rsidR="001E29E4">
              <w:rPr>
                <w:rFonts w:cs="Arial"/>
              </w:rPr>
              <w:t>your company</w:t>
            </w:r>
            <w:r w:rsidR="00C24B6B" w:rsidRPr="00644C74">
              <w:rPr>
                <w:rFonts w:cs="Arial"/>
              </w:rPr>
              <w:t xml:space="preserve"> will maintain confidentiality and comply with HIPAA security, privacy, </w:t>
            </w:r>
            <w:r w:rsidR="001E29E4">
              <w:rPr>
                <w:rFonts w:cs="Arial"/>
              </w:rPr>
              <w:t xml:space="preserve">and </w:t>
            </w:r>
            <w:r w:rsidR="00C24B6B" w:rsidRPr="00644C74">
              <w:rPr>
                <w:rFonts w:cs="Arial"/>
              </w:rPr>
              <w:t>electronic data</w:t>
            </w:r>
            <w:r w:rsidR="004F184A" w:rsidRPr="00644C74">
              <w:rPr>
                <w:rFonts w:cs="Arial"/>
              </w:rPr>
              <w:t xml:space="preserve"> interchange requirements. Address </w:t>
            </w:r>
            <w:r w:rsidR="001E29E4">
              <w:rPr>
                <w:rFonts w:cs="Arial"/>
              </w:rPr>
              <w:t xml:space="preserve">the data </w:t>
            </w:r>
            <w:r w:rsidR="004F184A" w:rsidRPr="00644C74">
              <w:rPr>
                <w:rFonts w:cs="Arial"/>
              </w:rPr>
              <w:t>security</w:t>
            </w:r>
            <w:r w:rsidR="001E29E4">
              <w:rPr>
                <w:rFonts w:cs="Arial"/>
              </w:rPr>
              <w:t xml:space="preserve"> of</w:t>
            </w:r>
            <w:r w:rsidR="004F184A" w:rsidRPr="00644C74">
              <w:rPr>
                <w:rFonts w:cs="Arial"/>
              </w:rPr>
              <w:t xml:space="preserve"> data centers</w:t>
            </w:r>
            <w:r w:rsidR="001E29E4">
              <w:rPr>
                <w:rFonts w:cs="Arial"/>
              </w:rPr>
              <w:t>, networks,</w:t>
            </w:r>
            <w:r w:rsidR="00CE51CD" w:rsidRPr="00644C74">
              <w:rPr>
                <w:rFonts w:cs="Arial"/>
              </w:rPr>
              <w:t xml:space="preserve"> </w:t>
            </w:r>
            <w:r w:rsidR="00FC0AD6" w:rsidRPr="00644C74">
              <w:rPr>
                <w:rFonts w:cs="Arial"/>
              </w:rPr>
              <w:t xml:space="preserve">the </w:t>
            </w:r>
            <w:r w:rsidR="004F184A" w:rsidRPr="00644C74">
              <w:rPr>
                <w:rFonts w:cs="Arial"/>
              </w:rPr>
              <w:t>web-portal</w:t>
            </w:r>
            <w:r w:rsidR="001E29E4">
              <w:rPr>
                <w:rFonts w:cs="Arial"/>
              </w:rPr>
              <w:t>,</w:t>
            </w:r>
            <w:r w:rsidR="001E29E4" w:rsidRPr="001E29E4">
              <w:rPr>
                <w:rFonts w:cs="Arial"/>
              </w:rPr>
              <w:t xml:space="preserve"> </w:t>
            </w:r>
            <w:r w:rsidR="001E29E4">
              <w:rPr>
                <w:rFonts w:cs="Arial"/>
              </w:rPr>
              <w:t>vendor to vendor transfers, and at onsite events.</w:t>
            </w:r>
          </w:p>
        </w:tc>
      </w:tr>
    </w:tbl>
    <w:p w14:paraId="100827D4" w14:textId="60B27A67" w:rsidR="006456A2" w:rsidRPr="002233F0" w:rsidRDefault="0074626B" w:rsidP="001E656B">
      <w:pPr>
        <w:pStyle w:val="Heading1"/>
        <w:tabs>
          <w:tab w:val="num" w:pos="360"/>
        </w:tabs>
        <w:ind w:left="360" w:hanging="360"/>
      </w:pPr>
      <w:bookmarkStart w:id="21" w:name="_Toc398562528"/>
      <w:bookmarkStart w:id="22" w:name="_Toc448905186"/>
      <w:bookmarkStart w:id="23" w:name="OLE_LINK1"/>
      <w:r w:rsidRPr="002233F0">
        <w:t>T</w:t>
      </w:r>
      <w:r w:rsidR="0037752A" w:rsidRPr="002233F0">
        <w:t xml:space="preserve">hird </w:t>
      </w:r>
      <w:r w:rsidRPr="002233F0">
        <w:t>P</w:t>
      </w:r>
      <w:r w:rsidR="0037752A" w:rsidRPr="002233F0">
        <w:t xml:space="preserve">arty </w:t>
      </w:r>
      <w:r w:rsidRPr="002233F0">
        <w:t>A</w:t>
      </w:r>
      <w:r w:rsidR="0037752A" w:rsidRPr="002233F0">
        <w:t xml:space="preserve">dministrative </w:t>
      </w:r>
      <w:r w:rsidRPr="002233F0">
        <w:t>S</w:t>
      </w:r>
      <w:r w:rsidR="0037752A" w:rsidRPr="002233F0">
        <w:t xml:space="preserve">ervices </w:t>
      </w:r>
      <w:bookmarkEnd w:id="21"/>
      <w:r w:rsidR="00D17839" w:rsidRPr="002233F0">
        <w:t>Questionnaire</w:t>
      </w:r>
      <w:bookmarkEnd w:id="22"/>
    </w:p>
    <w:bookmarkEnd w:id="23"/>
    <w:p w14:paraId="23ECA67E" w14:textId="0ADA1727" w:rsidR="006E32D3" w:rsidRPr="006E32D3" w:rsidRDefault="006456A2" w:rsidP="006456A2">
      <w:pPr>
        <w:pStyle w:val="LRWLBodyText"/>
        <w:rPr>
          <w:rFonts w:cs="Arial"/>
          <w:b/>
        </w:rPr>
      </w:pPr>
      <w:r w:rsidRPr="002233F0">
        <w:rPr>
          <w:rFonts w:cs="Arial"/>
          <w:b/>
        </w:rPr>
        <w:t>This section is scored. (</w:t>
      </w:r>
      <w:r w:rsidR="00D02E9A">
        <w:rPr>
          <w:rFonts w:cs="Arial"/>
          <w:b/>
        </w:rPr>
        <w:t>825</w:t>
      </w:r>
      <w:r w:rsidR="00B56176" w:rsidRPr="002233F0">
        <w:rPr>
          <w:rFonts w:cs="Arial"/>
          <w:b/>
        </w:rPr>
        <w:t xml:space="preserve"> </w:t>
      </w:r>
      <w:r w:rsidRPr="002233F0">
        <w:rPr>
          <w:rFonts w:cs="Arial"/>
          <w:b/>
        </w:rPr>
        <w:t>total points)</w:t>
      </w:r>
    </w:p>
    <w:p w14:paraId="48BBE546" w14:textId="7C10A05C" w:rsidR="006E32D3" w:rsidRPr="006E32D3" w:rsidRDefault="006E32D3" w:rsidP="006E32D3">
      <w:pPr>
        <w:pStyle w:val="LRWLBodyText"/>
        <w:rPr>
          <w:rFonts w:cs="Arial"/>
        </w:rPr>
      </w:pPr>
      <w:r w:rsidRPr="006E32D3">
        <w:rPr>
          <w:rFonts w:cs="Arial"/>
        </w:rPr>
        <w:t xml:space="preserve">The purpose of this section is to provide ETF and the Board with a basis for determining the Proposer’s capability to undertake </w:t>
      </w:r>
      <w:r w:rsidR="000C20A9">
        <w:rPr>
          <w:rFonts w:cs="Arial"/>
        </w:rPr>
        <w:t>the</w:t>
      </w:r>
      <w:r w:rsidR="000C20A9" w:rsidRPr="006E32D3">
        <w:rPr>
          <w:rFonts w:cs="Arial"/>
        </w:rPr>
        <w:t xml:space="preserve"> </w:t>
      </w:r>
      <w:r w:rsidR="000A264E">
        <w:rPr>
          <w:rFonts w:cs="Arial"/>
        </w:rPr>
        <w:t>C</w:t>
      </w:r>
      <w:r w:rsidRPr="006E32D3">
        <w:rPr>
          <w:rFonts w:cs="Arial"/>
        </w:rPr>
        <w:t xml:space="preserve">ontract. </w:t>
      </w:r>
    </w:p>
    <w:p w14:paraId="6B577C6D" w14:textId="29C9DC59" w:rsidR="006E32D3" w:rsidRPr="006E32D3" w:rsidRDefault="006E32D3" w:rsidP="006E32D3">
      <w:pPr>
        <w:pStyle w:val="LRWLBodyText"/>
        <w:rPr>
          <w:rFonts w:cs="Arial"/>
        </w:rPr>
      </w:pPr>
      <w:r w:rsidRPr="006E32D3">
        <w:rPr>
          <w:rFonts w:cs="Arial"/>
        </w:rPr>
        <w:t>All Proposers must respond to the following by restating each question or statement and providing a detailed written response. Instructions for formatting the written response to this section are found in Section 2.4</w:t>
      </w:r>
      <w:r w:rsidR="00B47B97">
        <w:rPr>
          <w:rFonts w:cs="Arial"/>
        </w:rPr>
        <w:t xml:space="preserve"> Proposal Organization and Format</w:t>
      </w:r>
      <w:r w:rsidRPr="006E32D3">
        <w:rPr>
          <w:rFonts w:cs="Arial"/>
        </w:rPr>
        <w:t xml:space="preserve">. </w:t>
      </w:r>
    </w:p>
    <w:p w14:paraId="164D652D" w14:textId="715AE13E" w:rsidR="006E32D3" w:rsidRPr="006E32D3" w:rsidRDefault="006E32D3" w:rsidP="006E32D3">
      <w:pPr>
        <w:pStyle w:val="LRWLBodyText"/>
        <w:rPr>
          <w:rFonts w:cs="Arial"/>
        </w:rPr>
      </w:pPr>
      <w:r w:rsidRPr="006E32D3">
        <w:rPr>
          <w:rFonts w:cs="Arial"/>
        </w:rPr>
        <w:t>The Proposer must be able to be perform</w:t>
      </w:r>
      <w:r w:rsidR="000A264E">
        <w:rPr>
          <w:rFonts w:cs="Arial"/>
        </w:rPr>
        <w:t xml:space="preserve"> Services</w:t>
      </w:r>
      <w:r w:rsidRPr="006E32D3">
        <w:rPr>
          <w:rFonts w:cs="Arial"/>
        </w:rPr>
        <w:t xml:space="preserve"> according to the requirements contained in this RFP. All resources necessary are to be provided by the Proposer and included </w:t>
      </w:r>
      <w:r w:rsidR="00692D86">
        <w:rPr>
          <w:rFonts w:cs="Arial"/>
        </w:rPr>
        <w:t>i</w:t>
      </w:r>
      <w:r w:rsidR="00692D86" w:rsidRPr="006E32D3">
        <w:rPr>
          <w:rFonts w:cs="Arial"/>
        </w:rPr>
        <w:t xml:space="preserve">n </w:t>
      </w:r>
      <w:r w:rsidR="00C120D3">
        <w:rPr>
          <w:rFonts w:cs="Arial"/>
        </w:rPr>
        <w:t xml:space="preserve">Attachment C </w:t>
      </w:r>
      <w:r w:rsidRPr="006E32D3">
        <w:rPr>
          <w:rFonts w:cs="Arial"/>
        </w:rPr>
        <w:t>Cost Proposal.</w:t>
      </w:r>
    </w:p>
    <w:p w14:paraId="037B4519" w14:textId="77777777" w:rsidR="00F12A19" w:rsidRDefault="00F12A19" w:rsidP="00F12A19">
      <w:pPr>
        <w:pStyle w:val="LRWLBodyText"/>
        <w:rPr>
          <w:rFonts w:cs="Arial"/>
        </w:rPr>
      </w:pPr>
      <w:r w:rsidRPr="001730B0">
        <w:rPr>
          <w:rFonts w:cs="Arial"/>
        </w:rPr>
        <w:lastRenderedPageBreak/>
        <w:t xml:space="preserve">The Proposer must provide sufficient detail for the Board and ETF to understand how the </w:t>
      </w:r>
      <w:r>
        <w:rPr>
          <w:rFonts w:cs="Arial"/>
        </w:rPr>
        <w:t>Proposer</w:t>
      </w:r>
      <w:r w:rsidRPr="001730B0">
        <w:rPr>
          <w:rFonts w:cs="Arial"/>
        </w:rPr>
        <w:t xml:space="preserve"> will comply with each requirement. If the Proposer believes that the Proposer’s qualifications go beyond the minimum requirements or add value, the Proposer should indicate those capabilities in each section.</w:t>
      </w:r>
    </w:p>
    <w:p w14:paraId="59B51884" w14:textId="3A44C0D5" w:rsidR="00956809" w:rsidRDefault="00956809" w:rsidP="006E32D3">
      <w:pPr>
        <w:pStyle w:val="LRWLBodyText"/>
        <w:rPr>
          <w:rFonts w:cs="Arial"/>
        </w:rPr>
      </w:pPr>
      <w:r w:rsidRPr="00956809">
        <w:rPr>
          <w:rFonts w:cs="Arial"/>
        </w:rPr>
        <w:t>Questions listed in th</w:t>
      </w:r>
      <w:r w:rsidR="005D0014">
        <w:rPr>
          <w:rFonts w:cs="Arial"/>
        </w:rPr>
        <w:t>is</w:t>
      </w:r>
      <w:r w:rsidRPr="00956809">
        <w:rPr>
          <w:rFonts w:cs="Arial"/>
        </w:rPr>
        <w:t xml:space="preserve"> section </w:t>
      </w:r>
      <w:r>
        <w:rPr>
          <w:rFonts w:cs="Arial"/>
        </w:rPr>
        <w:t>may</w:t>
      </w:r>
      <w:r w:rsidRPr="00956809">
        <w:rPr>
          <w:rFonts w:cs="Arial"/>
        </w:rPr>
        <w:t xml:space="preserve"> include specifications that are requirements of the Contract.</w:t>
      </w:r>
    </w:p>
    <w:p w14:paraId="0DE7D4A4" w14:textId="60FC8192" w:rsidR="000E5785" w:rsidRDefault="0045441F" w:rsidP="00644C74">
      <w:pPr>
        <w:pStyle w:val="Heading2"/>
        <w:ind w:hanging="1926"/>
      </w:pPr>
      <w:r>
        <w:t>Program Planning and Features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370"/>
      </w:tblGrid>
      <w:tr w:rsidR="0045441F" w14:paraId="42F8842C" w14:textId="77777777" w:rsidTr="0046721F">
        <w:tc>
          <w:tcPr>
            <w:tcW w:w="990" w:type="dxa"/>
          </w:tcPr>
          <w:p w14:paraId="5C879CA7" w14:textId="58581A6C" w:rsidR="0045441F" w:rsidRPr="002E754A" w:rsidRDefault="0045441F" w:rsidP="00AB7F9A">
            <w:pPr>
              <w:pStyle w:val="LRWLBodyText"/>
              <w:rPr>
                <w:rFonts w:cs="Arial"/>
              </w:rPr>
            </w:pPr>
            <w:r w:rsidRPr="002E754A">
              <w:rPr>
                <w:rFonts w:cs="Arial"/>
              </w:rPr>
              <w:t>7.</w:t>
            </w:r>
            <w:r w:rsidR="00AB7F9A" w:rsidRPr="002E754A">
              <w:rPr>
                <w:rFonts w:cs="Arial"/>
              </w:rPr>
              <w:t>1</w:t>
            </w:r>
            <w:r w:rsidRPr="002E754A">
              <w:rPr>
                <w:rFonts w:cs="Arial"/>
              </w:rPr>
              <w:t>.1</w:t>
            </w:r>
          </w:p>
        </w:tc>
        <w:tc>
          <w:tcPr>
            <w:tcW w:w="8370" w:type="dxa"/>
          </w:tcPr>
          <w:p w14:paraId="5991A1C9" w14:textId="1B980404" w:rsidR="0045441F" w:rsidRDefault="0045441F" w:rsidP="0045441F">
            <w:pPr>
              <w:pStyle w:val="LRWLBodyText"/>
              <w:rPr>
                <w:rFonts w:cs="Arial"/>
              </w:rPr>
            </w:pPr>
            <w:r w:rsidRPr="00116C3A">
              <w:rPr>
                <w:rFonts w:cs="Arial"/>
                <w:b/>
              </w:rPr>
              <w:t>Scope</w:t>
            </w:r>
            <w:r w:rsidRPr="00116C3A">
              <w:rPr>
                <w:rFonts w:cs="Arial"/>
              </w:rPr>
              <w:t>: Describe your understanding of the scope of work described in this RFP.</w:t>
            </w:r>
          </w:p>
        </w:tc>
      </w:tr>
      <w:tr w:rsidR="0045441F" w14:paraId="2B5F3FA1" w14:textId="77777777" w:rsidTr="0046721F">
        <w:tc>
          <w:tcPr>
            <w:tcW w:w="990" w:type="dxa"/>
          </w:tcPr>
          <w:p w14:paraId="52F351E4" w14:textId="165B2B05" w:rsidR="0045441F" w:rsidRPr="002E754A" w:rsidRDefault="0045441F" w:rsidP="00AB7F9A">
            <w:pPr>
              <w:pStyle w:val="LRWLBodyText"/>
              <w:rPr>
                <w:rFonts w:cs="Arial"/>
              </w:rPr>
            </w:pPr>
            <w:r w:rsidRPr="002E754A">
              <w:rPr>
                <w:rFonts w:cs="Arial"/>
              </w:rPr>
              <w:t>7.</w:t>
            </w:r>
            <w:r w:rsidR="00AB7F9A" w:rsidRPr="002E754A">
              <w:rPr>
                <w:rFonts w:cs="Arial"/>
              </w:rPr>
              <w:t>1</w:t>
            </w:r>
            <w:r w:rsidRPr="002E754A">
              <w:rPr>
                <w:rFonts w:cs="Arial"/>
              </w:rPr>
              <w:t>.2</w:t>
            </w:r>
          </w:p>
        </w:tc>
        <w:tc>
          <w:tcPr>
            <w:tcW w:w="8370" w:type="dxa"/>
          </w:tcPr>
          <w:p w14:paraId="5B9983B9" w14:textId="49435BFD" w:rsidR="00FA62F0" w:rsidRDefault="0045441F" w:rsidP="00F82E9F">
            <w:pPr>
              <w:pStyle w:val="LRWLBodyText"/>
              <w:rPr>
                <w:rFonts w:cs="Arial"/>
              </w:rPr>
            </w:pPr>
            <w:r w:rsidRPr="00116C3A">
              <w:rPr>
                <w:rFonts w:cs="Arial"/>
                <w:b/>
              </w:rPr>
              <w:t>Implementation Plan</w:t>
            </w:r>
            <w:r w:rsidRPr="00116C3A">
              <w:rPr>
                <w:rFonts w:cs="Arial"/>
              </w:rPr>
              <w:t xml:space="preserve">: Provide a proposed implementation plan that includes both a project overview and details on specific tasks, timeliness and responsibilities. Clearly delineate the tasks you expect ETF to perform and the information you expect ETF to provide. </w:t>
            </w:r>
            <w:r w:rsidR="0053326E" w:rsidRPr="00116C3A">
              <w:rPr>
                <w:rFonts w:cs="Arial"/>
              </w:rPr>
              <w:t xml:space="preserve">Describe the steps that must be taken in order to assume all responsibilities </w:t>
            </w:r>
            <w:r w:rsidR="00880BAF">
              <w:rPr>
                <w:rFonts w:cs="Arial"/>
              </w:rPr>
              <w:t xml:space="preserve">described in this RFP </w:t>
            </w:r>
            <w:r w:rsidR="0053326E" w:rsidRPr="00116C3A">
              <w:rPr>
                <w:rFonts w:cs="Arial"/>
              </w:rPr>
              <w:t xml:space="preserve">as of the </w:t>
            </w:r>
            <w:r w:rsidR="0053326E">
              <w:rPr>
                <w:rFonts w:cs="Arial"/>
              </w:rPr>
              <w:t>Program La</w:t>
            </w:r>
            <w:r w:rsidR="0053326E" w:rsidRPr="00E21DDC">
              <w:rPr>
                <w:rFonts w:cs="Arial"/>
              </w:rPr>
              <w:t xml:space="preserve">unch </w:t>
            </w:r>
            <w:r w:rsidR="0053326E" w:rsidRPr="0090304D">
              <w:rPr>
                <w:rFonts w:cs="Arial"/>
              </w:rPr>
              <w:t>date</w:t>
            </w:r>
            <w:r w:rsidR="0053326E">
              <w:rPr>
                <w:rFonts w:cs="Arial"/>
              </w:rPr>
              <w:t xml:space="preserve"> of </w:t>
            </w:r>
            <w:r w:rsidR="00F82E9F">
              <w:rPr>
                <w:rFonts w:cs="Arial"/>
              </w:rPr>
              <w:t>December 30, 2016</w:t>
            </w:r>
            <w:r w:rsidR="0053326E" w:rsidRPr="00116C3A">
              <w:rPr>
                <w:rFonts w:cs="Arial"/>
              </w:rPr>
              <w:t>.</w:t>
            </w:r>
            <w:r w:rsidR="0053326E">
              <w:rPr>
                <w:rFonts w:cs="Arial"/>
              </w:rPr>
              <w:t xml:space="preserve"> Identify any specific challenges with the implementation timeline.</w:t>
            </w:r>
          </w:p>
        </w:tc>
      </w:tr>
      <w:tr w:rsidR="0045441F" w14:paraId="75A0A83B" w14:textId="77777777" w:rsidTr="0046721F">
        <w:tc>
          <w:tcPr>
            <w:tcW w:w="990" w:type="dxa"/>
          </w:tcPr>
          <w:p w14:paraId="0018BACA" w14:textId="613243F7" w:rsidR="0045441F" w:rsidRPr="002E754A" w:rsidRDefault="0045441F" w:rsidP="00AB7F9A">
            <w:pPr>
              <w:pStyle w:val="LRWLBodyText"/>
              <w:rPr>
                <w:rFonts w:cs="Arial"/>
              </w:rPr>
            </w:pPr>
            <w:r w:rsidRPr="002E754A">
              <w:rPr>
                <w:rFonts w:cs="Arial"/>
              </w:rPr>
              <w:t>7.</w:t>
            </w:r>
            <w:r w:rsidR="00AB7F9A" w:rsidRPr="002E754A">
              <w:rPr>
                <w:rFonts w:cs="Arial"/>
              </w:rPr>
              <w:t>1</w:t>
            </w:r>
            <w:r w:rsidRPr="002E754A">
              <w:rPr>
                <w:rFonts w:cs="Arial"/>
              </w:rPr>
              <w:t>.3</w:t>
            </w:r>
          </w:p>
        </w:tc>
        <w:tc>
          <w:tcPr>
            <w:tcW w:w="8370" w:type="dxa"/>
          </w:tcPr>
          <w:p w14:paraId="4FC28CCE" w14:textId="35E91348" w:rsidR="0045441F" w:rsidRDefault="0045441F" w:rsidP="00643B61">
            <w:pPr>
              <w:pStyle w:val="LRWLBodyText"/>
              <w:rPr>
                <w:rFonts w:cs="Arial"/>
              </w:rPr>
            </w:pPr>
            <w:r w:rsidRPr="00116C3A">
              <w:rPr>
                <w:rFonts w:cs="Arial"/>
                <w:b/>
              </w:rPr>
              <w:t>Strategic Planning</w:t>
            </w:r>
            <w:r w:rsidRPr="00116C3A">
              <w:rPr>
                <w:rFonts w:cs="Arial"/>
              </w:rPr>
              <w:t>: How will your firm act as an innovative strategic partner to ETF and the Board as an expanded wellness program and transition in incentive designs are evaluated? Include your input on the pros and cons of transitioning to a new program design for the 201</w:t>
            </w:r>
            <w:r w:rsidR="00643B61">
              <w:rPr>
                <w:rFonts w:cs="Arial"/>
              </w:rPr>
              <w:t>8</w:t>
            </w:r>
            <w:r w:rsidRPr="00116C3A">
              <w:rPr>
                <w:rFonts w:cs="Arial"/>
              </w:rPr>
              <w:t xml:space="preserve"> program year. Provide an example from another large employer client that your firm provided strategic program planning.</w:t>
            </w:r>
          </w:p>
        </w:tc>
      </w:tr>
      <w:tr w:rsidR="0045441F" w14:paraId="7FEE37DE" w14:textId="77777777" w:rsidTr="0046721F">
        <w:tc>
          <w:tcPr>
            <w:tcW w:w="990" w:type="dxa"/>
          </w:tcPr>
          <w:p w14:paraId="2F62CE67" w14:textId="4F59EFEA" w:rsidR="0045441F" w:rsidRPr="002E754A" w:rsidRDefault="0045441F" w:rsidP="00AB7F9A">
            <w:pPr>
              <w:pStyle w:val="LRWLBodyText"/>
              <w:rPr>
                <w:rFonts w:cs="Arial"/>
              </w:rPr>
            </w:pPr>
            <w:r w:rsidRPr="002E754A">
              <w:rPr>
                <w:rFonts w:cs="Arial"/>
              </w:rPr>
              <w:t>7.</w:t>
            </w:r>
            <w:r w:rsidR="00AB7F9A" w:rsidRPr="002E754A">
              <w:rPr>
                <w:rFonts w:cs="Arial"/>
              </w:rPr>
              <w:t>1</w:t>
            </w:r>
            <w:r w:rsidRPr="002E754A">
              <w:rPr>
                <w:rFonts w:cs="Arial"/>
              </w:rPr>
              <w:t>.4</w:t>
            </w:r>
          </w:p>
        </w:tc>
        <w:tc>
          <w:tcPr>
            <w:tcW w:w="8370" w:type="dxa"/>
          </w:tcPr>
          <w:p w14:paraId="7C951FB4" w14:textId="68CE8E23" w:rsidR="0045441F" w:rsidRDefault="0045441F" w:rsidP="009D041D">
            <w:pPr>
              <w:pStyle w:val="LRWLBodyText"/>
              <w:rPr>
                <w:rFonts w:cs="Arial"/>
              </w:rPr>
            </w:pPr>
            <w:r w:rsidRPr="00116C3A">
              <w:rPr>
                <w:rFonts w:cs="Arial"/>
                <w:b/>
              </w:rPr>
              <w:t>Technological Solutions:</w:t>
            </w:r>
            <w:r w:rsidRPr="00116C3A">
              <w:rPr>
                <w:rFonts w:cs="Arial"/>
              </w:rPr>
              <w:t xml:space="preserve"> </w:t>
            </w:r>
            <w:r w:rsidR="0053326E" w:rsidRPr="00116C3A">
              <w:rPr>
                <w:rFonts w:cs="Arial"/>
              </w:rPr>
              <w:t xml:space="preserve">What are the features and functionality of </w:t>
            </w:r>
            <w:r w:rsidR="009D041D">
              <w:rPr>
                <w:rFonts w:cs="Arial"/>
              </w:rPr>
              <w:t>the</w:t>
            </w:r>
            <w:r w:rsidR="0053326E" w:rsidRPr="00116C3A">
              <w:rPr>
                <w:rFonts w:cs="Arial"/>
              </w:rPr>
              <w:t xml:space="preserve"> website and web</w:t>
            </w:r>
            <w:r w:rsidR="0088333C">
              <w:rPr>
                <w:rFonts w:cs="Arial"/>
              </w:rPr>
              <w:t>-</w:t>
            </w:r>
            <w:r w:rsidR="0053326E" w:rsidRPr="00116C3A">
              <w:rPr>
                <w:rFonts w:cs="Arial"/>
              </w:rPr>
              <w:t xml:space="preserve">portal </w:t>
            </w:r>
            <w:r w:rsidR="009D041D">
              <w:rPr>
                <w:rFonts w:cs="Arial"/>
              </w:rPr>
              <w:t xml:space="preserve">that will be provided to ETF </w:t>
            </w:r>
            <w:r w:rsidR="0053326E" w:rsidRPr="00116C3A">
              <w:rPr>
                <w:rFonts w:cs="Arial"/>
              </w:rPr>
              <w:t>and how</w:t>
            </w:r>
            <w:r w:rsidR="0053326E">
              <w:rPr>
                <w:rFonts w:cs="Arial"/>
              </w:rPr>
              <w:t xml:space="preserve"> will</w:t>
            </w:r>
            <w:r w:rsidR="0053326E" w:rsidRPr="00116C3A">
              <w:rPr>
                <w:rFonts w:cs="Arial"/>
              </w:rPr>
              <w:t xml:space="preserve"> they drive engagement in the program</w:t>
            </w:r>
            <w:r w:rsidR="0053326E">
              <w:rPr>
                <w:rFonts w:cs="Arial"/>
              </w:rPr>
              <w:t>s delivered for the Contract</w:t>
            </w:r>
            <w:r w:rsidR="0053326E" w:rsidRPr="00116C3A">
              <w:rPr>
                <w:rFonts w:cs="Arial"/>
              </w:rPr>
              <w:t>?</w:t>
            </w:r>
            <w:r w:rsidR="0053326E">
              <w:rPr>
                <w:rFonts w:cs="Arial"/>
              </w:rPr>
              <w:t xml:space="preserve"> Include detail on the level of customization that is available to ETF as part of </w:t>
            </w:r>
            <w:r w:rsidR="0088333C">
              <w:rPr>
                <w:rFonts w:cs="Arial"/>
              </w:rPr>
              <w:t>the</w:t>
            </w:r>
            <w:r w:rsidR="0053326E">
              <w:rPr>
                <w:rFonts w:cs="Arial"/>
              </w:rPr>
              <w:t xml:space="preserve"> Contract. Describe how your platforms will be able to support increased traffic as program participation increases</w:t>
            </w:r>
            <w:r w:rsidR="0088333C">
              <w:rPr>
                <w:rFonts w:cs="Arial"/>
              </w:rPr>
              <w:t xml:space="preserve"> and during periods of high volume usage (i.e. open enrollment)</w:t>
            </w:r>
            <w:r w:rsidR="0053326E">
              <w:rPr>
                <w:rFonts w:cs="Arial"/>
              </w:rPr>
              <w:t>.</w:t>
            </w:r>
          </w:p>
        </w:tc>
      </w:tr>
      <w:tr w:rsidR="0045441F" w14:paraId="36AE4DBE" w14:textId="77777777" w:rsidTr="0046721F">
        <w:tc>
          <w:tcPr>
            <w:tcW w:w="990" w:type="dxa"/>
          </w:tcPr>
          <w:p w14:paraId="70E24D09" w14:textId="1B024F49" w:rsidR="0045441F" w:rsidRPr="002E754A" w:rsidRDefault="0045441F" w:rsidP="00AB7F9A">
            <w:pPr>
              <w:pStyle w:val="LRWLBodyText"/>
              <w:rPr>
                <w:rFonts w:cs="Arial"/>
              </w:rPr>
            </w:pPr>
            <w:r w:rsidRPr="002E754A">
              <w:rPr>
                <w:rFonts w:cs="Arial"/>
              </w:rPr>
              <w:t>7.</w:t>
            </w:r>
            <w:r w:rsidR="00AB7F9A" w:rsidRPr="002E754A">
              <w:rPr>
                <w:rFonts w:cs="Arial"/>
              </w:rPr>
              <w:t>1</w:t>
            </w:r>
            <w:r w:rsidRPr="002E754A">
              <w:rPr>
                <w:rFonts w:cs="Arial"/>
              </w:rPr>
              <w:t>.5</w:t>
            </w:r>
          </w:p>
        </w:tc>
        <w:tc>
          <w:tcPr>
            <w:tcW w:w="8370" w:type="dxa"/>
          </w:tcPr>
          <w:p w14:paraId="34B2492F" w14:textId="58BD08AB" w:rsidR="0045441F" w:rsidRDefault="0045441F" w:rsidP="000F22FB">
            <w:pPr>
              <w:pStyle w:val="LRWLBodyText"/>
              <w:rPr>
                <w:rFonts w:cs="Arial"/>
              </w:rPr>
            </w:pPr>
            <w:r w:rsidRPr="00116C3A">
              <w:rPr>
                <w:rFonts w:cs="Arial"/>
                <w:b/>
              </w:rPr>
              <w:t>Biometric Screenings</w:t>
            </w:r>
            <w:r w:rsidRPr="00116C3A">
              <w:rPr>
                <w:rFonts w:cs="Arial"/>
              </w:rPr>
              <w:t xml:space="preserve">: </w:t>
            </w:r>
            <w:r w:rsidR="0053326E" w:rsidRPr="00116C3A">
              <w:rPr>
                <w:rFonts w:cs="Arial"/>
              </w:rPr>
              <w:t xml:space="preserve">Describe how biometric screenings will be provided </w:t>
            </w:r>
            <w:r w:rsidR="0053326E">
              <w:rPr>
                <w:rFonts w:cs="Arial"/>
              </w:rPr>
              <w:t>as</w:t>
            </w:r>
            <w:r w:rsidR="0053326E" w:rsidRPr="00116C3A">
              <w:rPr>
                <w:rFonts w:cs="Arial"/>
              </w:rPr>
              <w:t xml:space="preserve"> part of th</w:t>
            </w:r>
            <w:r w:rsidR="0053326E">
              <w:rPr>
                <w:rFonts w:cs="Arial"/>
              </w:rPr>
              <w:t>e</w:t>
            </w:r>
            <w:r w:rsidR="0053326E" w:rsidRPr="00116C3A">
              <w:rPr>
                <w:rFonts w:cs="Arial"/>
              </w:rPr>
              <w:t xml:space="preserve"> </w:t>
            </w:r>
            <w:r w:rsidR="0053326E">
              <w:rPr>
                <w:rFonts w:cs="Arial"/>
              </w:rPr>
              <w:t>C</w:t>
            </w:r>
            <w:r w:rsidR="0053326E" w:rsidRPr="00116C3A">
              <w:rPr>
                <w:rFonts w:cs="Arial"/>
              </w:rPr>
              <w:t>ontract</w:t>
            </w:r>
            <w:r w:rsidR="0053326E">
              <w:rPr>
                <w:rFonts w:cs="Arial"/>
              </w:rPr>
              <w:t xml:space="preserve"> from the standpoint of the Participant, the Employer and ETF</w:t>
            </w:r>
            <w:r w:rsidR="0053326E" w:rsidRPr="00116C3A">
              <w:rPr>
                <w:rFonts w:cs="Arial"/>
              </w:rPr>
              <w:t xml:space="preserve">. </w:t>
            </w:r>
            <w:r w:rsidR="0053326E">
              <w:rPr>
                <w:rFonts w:cs="Arial"/>
              </w:rPr>
              <w:t xml:space="preserve">Provide two (2) examples of how you reduced the cost and required frequency of biometric screenings for a large employer group </w:t>
            </w:r>
            <w:r w:rsidR="000F22FB">
              <w:rPr>
                <w:rFonts w:cs="Arial"/>
              </w:rPr>
              <w:t>that screened over 2</w:t>
            </w:r>
            <w:r w:rsidR="0053326E">
              <w:rPr>
                <w:rFonts w:cs="Arial"/>
              </w:rPr>
              <w:t>0,000 employees</w:t>
            </w:r>
            <w:r w:rsidR="00350BD0">
              <w:rPr>
                <w:rFonts w:cs="Arial"/>
              </w:rPr>
              <w:t xml:space="preserve"> per year</w:t>
            </w:r>
            <w:r w:rsidR="0053326E">
              <w:rPr>
                <w:rFonts w:cs="Arial"/>
              </w:rPr>
              <w:t>. What is your recommended approach for</w:t>
            </w:r>
            <w:r w:rsidR="00880BAF">
              <w:rPr>
                <w:rFonts w:cs="Arial"/>
              </w:rPr>
              <w:t xml:space="preserve"> biometric screenings for the</w:t>
            </w:r>
            <w:r w:rsidR="0053326E">
              <w:rPr>
                <w:rFonts w:cs="Arial"/>
              </w:rPr>
              <w:t xml:space="preserve"> Contract?</w:t>
            </w:r>
          </w:p>
        </w:tc>
      </w:tr>
      <w:tr w:rsidR="0045441F" w14:paraId="161C50EF" w14:textId="77777777" w:rsidTr="0046721F">
        <w:tc>
          <w:tcPr>
            <w:tcW w:w="990" w:type="dxa"/>
          </w:tcPr>
          <w:p w14:paraId="57E9384E" w14:textId="4FA8401A" w:rsidR="0045441F" w:rsidRPr="002E754A" w:rsidRDefault="0045441F" w:rsidP="00AB7F9A">
            <w:pPr>
              <w:pStyle w:val="LRWLBodyText"/>
              <w:rPr>
                <w:rFonts w:cs="Arial"/>
              </w:rPr>
            </w:pPr>
            <w:r w:rsidRPr="002E754A">
              <w:rPr>
                <w:rFonts w:cs="Arial"/>
              </w:rPr>
              <w:t>7.</w:t>
            </w:r>
            <w:r w:rsidR="00AB7F9A" w:rsidRPr="002E754A">
              <w:rPr>
                <w:rFonts w:cs="Arial"/>
              </w:rPr>
              <w:t>1</w:t>
            </w:r>
            <w:r w:rsidRPr="002E754A">
              <w:rPr>
                <w:rFonts w:cs="Arial"/>
              </w:rPr>
              <w:t>.6</w:t>
            </w:r>
          </w:p>
        </w:tc>
        <w:tc>
          <w:tcPr>
            <w:tcW w:w="8370" w:type="dxa"/>
          </w:tcPr>
          <w:p w14:paraId="2921F0B6" w14:textId="03EE60A3" w:rsidR="0045441F" w:rsidRDefault="0045441F" w:rsidP="00880BAF">
            <w:pPr>
              <w:pStyle w:val="LRWLBodyText"/>
              <w:rPr>
                <w:rFonts w:cs="Arial"/>
              </w:rPr>
            </w:pPr>
            <w:r w:rsidRPr="00116C3A">
              <w:rPr>
                <w:rFonts w:cs="Arial"/>
                <w:b/>
              </w:rPr>
              <w:t>Health Risk Assessment</w:t>
            </w:r>
            <w:r w:rsidRPr="00116C3A">
              <w:rPr>
                <w:rFonts w:cs="Arial"/>
              </w:rPr>
              <w:t xml:space="preserve">: </w:t>
            </w:r>
            <w:r w:rsidR="0053326E" w:rsidRPr="00116C3A">
              <w:rPr>
                <w:rFonts w:cs="Arial"/>
              </w:rPr>
              <w:t xml:space="preserve">Describe </w:t>
            </w:r>
            <w:r w:rsidR="000F22FB">
              <w:rPr>
                <w:rFonts w:cs="Arial"/>
              </w:rPr>
              <w:t xml:space="preserve">the third party validation of your </w:t>
            </w:r>
            <w:r w:rsidR="000F22FB" w:rsidRPr="000F22FB">
              <w:rPr>
                <w:rFonts w:cs="Arial"/>
              </w:rPr>
              <w:t xml:space="preserve">health risk </w:t>
            </w:r>
            <w:r w:rsidR="00AA1FA9" w:rsidRPr="000F22FB">
              <w:rPr>
                <w:rFonts w:cs="Arial"/>
              </w:rPr>
              <w:t xml:space="preserve">assessment </w:t>
            </w:r>
            <w:r w:rsidR="00AA1FA9">
              <w:rPr>
                <w:rFonts w:cs="Arial"/>
              </w:rPr>
              <w:t>and</w:t>
            </w:r>
            <w:r w:rsidR="000F22FB">
              <w:rPr>
                <w:rFonts w:cs="Arial"/>
              </w:rPr>
              <w:t xml:space="preserve"> </w:t>
            </w:r>
            <w:r w:rsidR="0053326E">
              <w:rPr>
                <w:rFonts w:cs="Arial"/>
              </w:rPr>
              <w:t xml:space="preserve">how the content of your health risk assessment identifies risk for the individual and the population. </w:t>
            </w:r>
            <w:r w:rsidR="009D041D">
              <w:rPr>
                <w:rFonts w:cs="Arial"/>
              </w:rPr>
              <w:t xml:space="preserve">Identify accreditations, certifications or special recognition that apply to your health risk assessment. </w:t>
            </w:r>
            <w:r w:rsidR="0053326E">
              <w:rPr>
                <w:rFonts w:cs="Arial"/>
              </w:rPr>
              <w:t xml:space="preserve">Describe how the health risk assessment is accessed by participants, average time to complete and the information presented to the participant upon completion. Describe what aspects of the </w:t>
            </w:r>
            <w:r w:rsidR="000F22FB" w:rsidRPr="000F22FB">
              <w:rPr>
                <w:rFonts w:cs="Arial"/>
              </w:rPr>
              <w:t>health risk assessment</w:t>
            </w:r>
            <w:r w:rsidR="0053326E">
              <w:rPr>
                <w:rFonts w:cs="Arial"/>
              </w:rPr>
              <w:t xml:space="preserve"> can be customized for ETF.</w:t>
            </w:r>
            <w:r w:rsidR="00880BAF">
              <w:rPr>
                <w:rFonts w:cs="Arial"/>
              </w:rPr>
              <w:t xml:space="preserve"> Describe any form of gamification used to increase participant engagement.</w:t>
            </w:r>
          </w:p>
        </w:tc>
      </w:tr>
      <w:tr w:rsidR="002E754A" w14:paraId="4C596F6E" w14:textId="77777777" w:rsidTr="0046721F">
        <w:tc>
          <w:tcPr>
            <w:tcW w:w="990" w:type="dxa"/>
          </w:tcPr>
          <w:p w14:paraId="1AB27D58" w14:textId="35EA36DB" w:rsidR="002E754A" w:rsidRPr="002E754A" w:rsidRDefault="002E754A" w:rsidP="00AB7F9A">
            <w:pPr>
              <w:pStyle w:val="LRWLBodyText"/>
              <w:rPr>
                <w:rFonts w:cs="Arial"/>
              </w:rPr>
            </w:pPr>
            <w:r w:rsidRPr="002E754A">
              <w:rPr>
                <w:rFonts w:cs="Arial"/>
              </w:rPr>
              <w:t>7.1.7</w:t>
            </w:r>
          </w:p>
        </w:tc>
        <w:tc>
          <w:tcPr>
            <w:tcW w:w="8370" w:type="dxa"/>
          </w:tcPr>
          <w:p w14:paraId="4C7F57D5" w14:textId="74A6136B" w:rsidR="002E754A" w:rsidRPr="002E754A" w:rsidRDefault="009D041D" w:rsidP="009D041D">
            <w:pPr>
              <w:pStyle w:val="LRWLBodyText"/>
              <w:rPr>
                <w:rFonts w:cs="Arial"/>
              </w:rPr>
            </w:pPr>
            <w:r>
              <w:rPr>
                <w:rFonts w:cs="Arial"/>
                <w:b/>
              </w:rPr>
              <w:t xml:space="preserve">Wellness </w:t>
            </w:r>
            <w:r w:rsidR="003954EC">
              <w:rPr>
                <w:rFonts w:cs="Arial"/>
                <w:b/>
              </w:rPr>
              <w:t>Health Coaching:</w:t>
            </w:r>
            <w:r w:rsidR="002E754A">
              <w:rPr>
                <w:rFonts w:cs="Arial"/>
                <w:b/>
              </w:rPr>
              <w:t xml:space="preserve"> </w:t>
            </w:r>
            <w:r w:rsidR="00C327E0">
              <w:rPr>
                <w:rFonts w:cs="Arial"/>
              </w:rPr>
              <w:t xml:space="preserve">Describe the </w:t>
            </w:r>
            <w:r w:rsidR="000F22FB">
              <w:rPr>
                <w:rFonts w:cs="Arial"/>
              </w:rPr>
              <w:t xml:space="preserve">wellness </w:t>
            </w:r>
            <w:r w:rsidR="00C327E0">
              <w:rPr>
                <w:rFonts w:cs="Arial"/>
              </w:rPr>
              <w:t xml:space="preserve">health coaching services that will be provided for the Contract from the standpoint of the Participant </w:t>
            </w:r>
            <w:r w:rsidR="00C327E0" w:rsidRPr="003A4BE4">
              <w:rPr>
                <w:rFonts w:cs="Arial"/>
              </w:rPr>
              <w:t>and ETF</w:t>
            </w:r>
            <w:r w:rsidR="00C327E0">
              <w:rPr>
                <w:rFonts w:cs="Arial"/>
              </w:rPr>
              <w:t xml:space="preserve"> including: the qualifications and experience of the health coaches that will be available, methods that will be used to </w:t>
            </w:r>
            <w:r w:rsidR="000F22FB">
              <w:rPr>
                <w:rFonts w:cs="Arial"/>
              </w:rPr>
              <w:t xml:space="preserve">identify participants for coaching, how your company </w:t>
            </w:r>
            <w:r w:rsidR="00F05349">
              <w:rPr>
                <w:rFonts w:cs="Arial"/>
              </w:rPr>
              <w:t xml:space="preserve">will </w:t>
            </w:r>
            <w:r w:rsidR="00C327E0">
              <w:rPr>
                <w:rFonts w:cs="Arial"/>
              </w:rPr>
              <w:t>drive utilization of coaching services</w:t>
            </w:r>
            <w:r w:rsidR="006A0904">
              <w:rPr>
                <w:rFonts w:cs="Arial"/>
              </w:rPr>
              <w:t>,</w:t>
            </w:r>
            <w:r w:rsidR="00C327E0">
              <w:rPr>
                <w:rFonts w:cs="Arial"/>
              </w:rPr>
              <w:t xml:space="preserve"> and how you define a successful </w:t>
            </w:r>
            <w:r w:rsidR="00C327E0">
              <w:rPr>
                <w:rFonts w:cs="Arial"/>
              </w:rPr>
              <w:lastRenderedPageBreak/>
              <w:t>coaching interaction.</w:t>
            </w:r>
            <w:r w:rsidR="000F22FB">
              <w:rPr>
                <w:rFonts w:cs="Arial"/>
              </w:rPr>
              <w:t xml:space="preserve"> </w:t>
            </w:r>
            <w:r w:rsidR="003079AF">
              <w:rPr>
                <w:rFonts w:cs="Arial"/>
              </w:rPr>
              <w:t xml:space="preserve">Provide health coaching outcome data </w:t>
            </w:r>
            <w:r>
              <w:rPr>
                <w:rFonts w:cs="Arial"/>
              </w:rPr>
              <w:t xml:space="preserve">for </w:t>
            </w:r>
            <w:r w:rsidR="003079AF">
              <w:rPr>
                <w:rFonts w:cs="Arial"/>
              </w:rPr>
              <w:t xml:space="preserve">your </w:t>
            </w:r>
            <w:r w:rsidR="006A62F6">
              <w:rPr>
                <w:rFonts w:cs="Arial"/>
              </w:rPr>
              <w:t>company’s book</w:t>
            </w:r>
            <w:r w:rsidR="003079AF">
              <w:rPr>
                <w:rFonts w:cs="Arial"/>
              </w:rPr>
              <w:t xml:space="preserve"> of business. </w:t>
            </w:r>
          </w:p>
        </w:tc>
      </w:tr>
      <w:tr w:rsidR="004F15AF" w14:paraId="0CE933B2" w14:textId="77777777" w:rsidTr="0046721F">
        <w:tc>
          <w:tcPr>
            <w:tcW w:w="990" w:type="dxa"/>
          </w:tcPr>
          <w:p w14:paraId="44C532AA" w14:textId="6DEA3050" w:rsidR="004F15AF" w:rsidRPr="002E754A" w:rsidRDefault="004F15AF" w:rsidP="00AB7F9A">
            <w:pPr>
              <w:pStyle w:val="LRWLBodyText"/>
              <w:rPr>
                <w:rFonts w:cs="Arial"/>
              </w:rPr>
            </w:pPr>
            <w:r w:rsidRPr="002E754A">
              <w:rPr>
                <w:rFonts w:cs="Arial"/>
              </w:rPr>
              <w:lastRenderedPageBreak/>
              <w:t>7.</w:t>
            </w:r>
            <w:r w:rsidR="00AB7F9A" w:rsidRPr="002E754A">
              <w:rPr>
                <w:rFonts w:cs="Arial"/>
              </w:rPr>
              <w:t>1</w:t>
            </w:r>
            <w:r w:rsidRPr="002E754A">
              <w:rPr>
                <w:rFonts w:cs="Arial"/>
              </w:rPr>
              <w:t>.8</w:t>
            </w:r>
          </w:p>
        </w:tc>
        <w:tc>
          <w:tcPr>
            <w:tcW w:w="8370" w:type="dxa"/>
          </w:tcPr>
          <w:p w14:paraId="5C358982" w14:textId="4A0B0A73" w:rsidR="004F15AF" w:rsidRPr="003954EC" w:rsidRDefault="002E754A">
            <w:pPr>
              <w:pStyle w:val="LRWLBodyText"/>
              <w:rPr>
                <w:rFonts w:cs="Arial"/>
              </w:rPr>
            </w:pPr>
            <w:r>
              <w:rPr>
                <w:rFonts w:cs="Arial"/>
                <w:b/>
              </w:rPr>
              <w:t xml:space="preserve">Disease Management Programs: </w:t>
            </w:r>
            <w:r w:rsidR="009D041D">
              <w:rPr>
                <w:rFonts w:cs="Arial"/>
              </w:rPr>
              <w:t xml:space="preserve">Describe the accreditations your company holds for disease management or health promotion programs. Detail how your company would implement a phased expansion for this Contract utilizing the PBM and medical claims data. Provide two (2) examples of how you implemented a phased-in disease management program for a large employer group (100,000+ employees) and the resulting ROI.  </w:t>
            </w:r>
          </w:p>
        </w:tc>
      </w:tr>
      <w:tr w:rsidR="002E754A" w14:paraId="0B03B226" w14:textId="77777777" w:rsidTr="0046721F">
        <w:tc>
          <w:tcPr>
            <w:tcW w:w="990" w:type="dxa"/>
          </w:tcPr>
          <w:p w14:paraId="30DEE7F2" w14:textId="3D07ADCD" w:rsidR="002E754A" w:rsidRPr="002E754A" w:rsidRDefault="002E754A" w:rsidP="00AB7F9A">
            <w:pPr>
              <w:pStyle w:val="LRWLBodyText"/>
              <w:rPr>
                <w:rFonts w:cs="Arial"/>
              </w:rPr>
            </w:pPr>
            <w:r w:rsidRPr="002E754A">
              <w:rPr>
                <w:rFonts w:cs="Arial"/>
              </w:rPr>
              <w:t>7.1.9</w:t>
            </w:r>
          </w:p>
        </w:tc>
        <w:tc>
          <w:tcPr>
            <w:tcW w:w="8370" w:type="dxa"/>
          </w:tcPr>
          <w:p w14:paraId="7274EF0D" w14:textId="4B54EEE5" w:rsidR="002E754A" w:rsidRDefault="002E754A" w:rsidP="003079AF">
            <w:pPr>
              <w:pStyle w:val="LRWLBodyText"/>
              <w:rPr>
                <w:rFonts w:cs="Arial"/>
                <w:b/>
              </w:rPr>
            </w:pPr>
            <w:r>
              <w:rPr>
                <w:rFonts w:cs="Arial"/>
                <w:b/>
              </w:rPr>
              <w:t xml:space="preserve">Reporting Capabilities: </w:t>
            </w:r>
            <w:r w:rsidRPr="00777CB8">
              <w:rPr>
                <w:rFonts w:cs="Arial"/>
              </w:rPr>
              <w:t xml:space="preserve">Detail </w:t>
            </w:r>
            <w:r w:rsidR="003079AF">
              <w:rPr>
                <w:rFonts w:cs="Arial"/>
              </w:rPr>
              <w:t>your company</w:t>
            </w:r>
            <w:r w:rsidRPr="00777CB8">
              <w:rPr>
                <w:rFonts w:cs="Arial"/>
              </w:rPr>
              <w:t xml:space="preserve">’s capabilities in producing the reports </w:t>
            </w:r>
            <w:r>
              <w:rPr>
                <w:rFonts w:cs="Arial"/>
              </w:rPr>
              <w:t>that will be required for th</w:t>
            </w:r>
            <w:r w:rsidR="005D0014">
              <w:rPr>
                <w:rFonts w:cs="Arial"/>
              </w:rPr>
              <w:t>e</w:t>
            </w:r>
            <w:r>
              <w:rPr>
                <w:rFonts w:cs="Arial"/>
              </w:rPr>
              <w:t xml:space="preserve"> Contract. </w:t>
            </w:r>
            <w:r w:rsidRPr="00777CB8">
              <w:rPr>
                <w:rFonts w:cs="Arial"/>
              </w:rPr>
              <w:t>Provide a description and example</w:t>
            </w:r>
            <w:r w:rsidR="005D0014">
              <w:rPr>
                <w:rFonts w:cs="Arial"/>
              </w:rPr>
              <w:t>s</w:t>
            </w:r>
            <w:r w:rsidRPr="00777CB8">
              <w:rPr>
                <w:rFonts w:cs="Arial"/>
              </w:rPr>
              <w:t xml:space="preserve"> of reports</w:t>
            </w:r>
            <w:r w:rsidR="005D0014">
              <w:rPr>
                <w:rFonts w:cs="Arial"/>
              </w:rPr>
              <w:t>.</w:t>
            </w:r>
            <w:r w:rsidRPr="00777CB8">
              <w:rPr>
                <w:rFonts w:cs="Arial"/>
              </w:rPr>
              <w:t xml:space="preserve"> </w:t>
            </w:r>
            <w:r w:rsidR="005D0014">
              <w:rPr>
                <w:rFonts w:cs="Arial"/>
              </w:rPr>
              <w:t xml:space="preserve">Describe if any additional reporting capabilities would be provided to </w:t>
            </w:r>
            <w:r w:rsidRPr="00777CB8">
              <w:rPr>
                <w:rFonts w:cs="Arial"/>
              </w:rPr>
              <w:t>ETF.</w:t>
            </w:r>
          </w:p>
        </w:tc>
      </w:tr>
    </w:tbl>
    <w:p w14:paraId="382928F4" w14:textId="24BF84EE" w:rsidR="00B33322" w:rsidRPr="0046721F" w:rsidRDefault="0093033A" w:rsidP="00644C74">
      <w:pPr>
        <w:pStyle w:val="Heading2"/>
        <w:ind w:hanging="1926"/>
      </w:pPr>
      <w:bookmarkStart w:id="24" w:name="_Toc398562529"/>
      <w:r>
        <w:t>Additional P</w:t>
      </w:r>
      <w:r w:rsidR="00B33322" w:rsidRPr="0046721F">
        <w:t xml:space="preserve">erformance Standards and </w:t>
      </w:r>
      <w:r w:rsidR="003B54F5" w:rsidRPr="0046721F">
        <w:t>Guarantees</w:t>
      </w:r>
    </w:p>
    <w:p w14:paraId="6C36AD15" w14:textId="607E2EE3" w:rsidR="007F1ACF" w:rsidRDefault="00C92432" w:rsidP="00D17839">
      <w:pPr>
        <w:rPr>
          <w:rFonts w:ascii="Arial" w:hAnsi="Arial" w:cs="Arial"/>
        </w:rPr>
      </w:pPr>
      <w:r w:rsidRPr="0097707A">
        <w:rPr>
          <w:rFonts w:ascii="Arial" w:hAnsi="Arial" w:cs="Arial"/>
        </w:rPr>
        <w:t>Describe additional performance guarantees and the percentage of fees at risk you are prepared to off</w:t>
      </w:r>
      <w:r w:rsidRPr="007863D3">
        <w:rPr>
          <w:rFonts w:ascii="Arial" w:hAnsi="Arial" w:cs="Arial"/>
        </w:rPr>
        <w:t>er ETF</w:t>
      </w:r>
      <w:r w:rsidR="000C20A9" w:rsidRPr="007863D3">
        <w:rPr>
          <w:rFonts w:ascii="Arial" w:hAnsi="Arial" w:cs="Arial"/>
        </w:rPr>
        <w:t>, tied to operational performance</w:t>
      </w:r>
      <w:r w:rsidR="00FB32B3" w:rsidRPr="007863D3">
        <w:rPr>
          <w:rFonts w:ascii="Arial" w:hAnsi="Arial" w:cs="Arial"/>
        </w:rPr>
        <w:t xml:space="preserve">, engagement </w:t>
      </w:r>
      <w:r w:rsidR="000C20A9" w:rsidRPr="007863D3">
        <w:rPr>
          <w:rFonts w:ascii="Arial" w:hAnsi="Arial" w:cs="Arial"/>
        </w:rPr>
        <w:t>an</w:t>
      </w:r>
      <w:r w:rsidR="000C20A9" w:rsidRPr="004C480F">
        <w:rPr>
          <w:rFonts w:ascii="Arial" w:hAnsi="Arial" w:cs="Arial"/>
        </w:rPr>
        <w:t>d health outcomes</w:t>
      </w:r>
      <w:r w:rsidR="004C480F" w:rsidRPr="004C480F">
        <w:rPr>
          <w:rFonts w:ascii="Arial" w:hAnsi="Arial" w:cs="Arial"/>
        </w:rPr>
        <w:t xml:space="preserve">. </w:t>
      </w:r>
      <w:r w:rsidR="004C480F" w:rsidRPr="004C480F">
        <w:rPr>
          <w:rFonts w:ascii="Arial" w:hAnsi="Arial" w:cs="Arial"/>
          <w:color w:val="000000"/>
        </w:rPr>
        <w:t>Proposers are encouraged to provide additional detail on health outcome metrics for which performance guarantees could be offered.</w:t>
      </w:r>
      <w:r w:rsidR="000C20A9" w:rsidRPr="004C480F">
        <w:rPr>
          <w:rFonts w:ascii="Arial" w:hAnsi="Arial" w:cs="Arial"/>
        </w:rPr>
        <w:t xml:space="preserve"> </w:t>
      </w:r>
      <w:r w:rsidR="004C480F" w:rsidRPr="004C480F">
        <w:rPr>
          <w:rFonts w:ascii="Arial" w:hAnsi="Arial" w:cs="Arial"/>
        </w:rPr>
        <w:t xml:space="preserve"> </w:t>
      </w:r>
    </w:p>
    <w:p w14:paraId="4BD861C1" w14:textId="5321CBF7" w:rsidR="006456A2" w:rsidRPr="00273653" w:rsidRDefault="006456A2" w:rsidP="00F05349">
      <w:pPr>
        <w:pStyle w:val="Heading1"/>
      </w:pPr>
      <w:bookmarkStart w:id="25" w:name="_Toc448905187"/>
      <w:r w:rsidRPr="00273653">
        <w:t>Cost</w:t>
      </w:r>
      <w:bookmarkEnd w:id="24"/>
      <w:bookmarkEnd w:id="25"/>
    </w:p>
    <w:p w14:paraId="7662AAAF" w14:textId="12550DA9" w:rsidR="002A3195" w:rsidRPr="00273653" w:rsidRDefault="002A3195" w:rsidP="002A3195">
      <w:pPr>
        <w:spacing w:after="0"/>
        <w:rPr>
          <w:rFonts w:ascii="Arial" w:hAnsi="Arial" w:cs="Arial"/>
          <w:b/>
        </w:rPr>
      </w:pPr>
      <w:r w:rsidRPr="00273653">
        <w:rPr>
          <w:rFonts w:ascii="Arial" w:hAnsi="Arial" w:cs="Arial"/>
          <w:b/>
        </w:rPr>
        <w:t>This section is scored. (</w:t>
      </w:r>
      <w:r w:rsidR="00D02E9A">
        <w:rPr>
          <w:rFonts w:ascii="Arial" w:hAnsi="Arial" w:cs="Arial"/>
          <w:b/>
        </w:rPr>
        <w:t>3</w:t>
      </w:r>
      <w:r>
        <w:rPr>
          <w:rFonts w:ascii="Arial" w:hAnsi="Arial" w:cs="Arial"/>
          <w:b/>
        </w:rPr>
        <w:t>00</w:t>
      </w:r>
      <w:r w:rsidRPr="00273653">
        <w:rPr>
          <w:rFonts w:ascii="Arial" w:hAnsi="Arial" w:cs="Arial"/>
          <w:b/>
        </w:rPr>
        <w:t xml:space="preserve"> total points)</w:t>
      </w:r>
    </w:p>
    <w:p w14:paraId="619A974C" w14:textId="34172474" w:rsidR="002A3195" w:rsidRDefault="002A3195" w:rsidP="002A3195">
      <w:pPr>
        <w:spacing w:after="0"/>
        <w:rPr>
          <w:rFonts w:ascii="Arial" w:hAnsi="Arial" w:cs="Arial"/>
        </w:rPr>
      </w:pPr>
      <w:r w:rsidRPr="00273653">
        <w:rPr>
          <w:rFonts w:ascii="Arial" w:hAnsi="Arial" w:cs="Arial"/>
        </w:rPr>
        <w:t xml:space="preserve">The </w:t>
      </w:r>
      <w:r>
        <w:rPr>
          <w:rFonts w:ascii="Arial" w:hAnsi="Arial" w:cs="Arial"/>
        </w:rPr>
        <w:t>C</w:t>
      </w:r>
      <w:r w:rsidRPr="00273653">
        <w:rPr>
          <w:rFonts w:ascii="Arial" w:hAnsi="Arial" w:cs="Arial"/>
        </w:rPr>
        <w:t xml:space="preserve">ost </w:t>
      </w:r>
      <w:r>
        <w:rPr>
          <w:rFonts w:ascii="Arial" w:hAnsi="Arial" w:cs="Arial"/>
        </w:rPr>
        <w:t xml:space="preserve">Proposal Attachment </w:t>
      </w:r>
      <w:r w:rsidRPr="00C120D3">
        <w:rPr>
          <w:rFonts w:ascii="Arial" w:hAnsi="Arial" w:cs="Arial"/>
        </w:rPr>
        <w:t xml:space="preserve">C must be submitted as instructed in Section 2.3 Submitting the Proposal. See RFP Section 3.5 Method to Score the Cost for the cost score calculation. </w:t>
      </w:r>
      <w:r w:rsidRPr="00C120D3">
        <w:rPr>
          <w:rFonts w:ascii="Arial" w:hAnsi="Arial" w:cs="Arial"/>
          <w:b/>
          <w:u w:val="single"/>
        </w:rPr>
        <w:t>The listing of any dollar amount</w:t>
      </w:r>
      <w:r w:rsidRPr="00C111C0">
        <w:rPr>
          <w:rFonts w:ascii="Arial" w:hAnsi="Arial" w:cs="Arial"/>
          <w:b/>
          <w:u w:val="single"/>
        </w:rPr>
        <w:t xml:space="preserve">s related to any service or fee will not be allowed within the </w:t>
      </w:r>
      <w:r>
        <w:rPr>
          <w:rFonts w:ascii="Arial" w:hAnsi="Arial" w:cs="Arial"/>
          <w:b/>
          <w:u w:val="single"/>
        </w:rPr>
        <w:t>Proposer’s</w:t>
      </w:r>
      <w:r w:rsidRPr="00C111C0">
        <w:rPr>
          <w:rFonts w:ascii="Arial" w:hAnsi="Arial" w:cs="Arial"/>
          <w:b/>
          <w:u w:val="single"/>
        </w:rPr>
        <w:t xml:space="preserve"> written proposal. All dollar amounts for any service or fee are required to be listed on Attachment </w:t>
      </w:r>
      <w:r w:rsidRPr="00C120D3">
        <w:rPr>
          <w:rFonts w:ascii="Arial" w:hAnsi="Arial" w:cs="Arial"/>
          <w:b/>
          <w:u w:val="single"/>
        </w:rPr>
        <w:t>C only.</w:t>
      </w:r>
      <w:r>
        <w:rPr>
          <w:rFonts w:ascii="Arial" w:hAnsi="Arial" w:cs="Arial"/>
          <w:b/>
          <w:u w:val="single"/>
        </w:rPr>
        <w:t xml:space="preserve"> </w:t>
      </w:r>
    </w:p>
    <w:p w14:paraId="7DBB0D0F" w14:textId="2BAA01E3" w:rsidR="002A3195" w:rsidRDefault="002A3195" w:rsidP="002A3195">
      <w:pPr>
        <w:spacing w:after="0"/>
        <w:rPr>
          <w:rFonts w:ascii="Arial" w:hAnsi="Arial" w:cs="Arial"/>
        </w:rPr>
      </w:pPr>
      <w:r w:rsidRPr="00273653">
        <w:rPr>
          <w:rFonts w:ascii="Arial" w:hAnsi="Arial" w:cs="Arial"/>
        </w:rPr>
        <w:t>ETF reserves the right to clarify any pricing discrepancies related to assumptions on the part of the Proposers</w:t>
      </w:r>
      <w:r>
        <w:rPr>
          <w:rFonts w:ascii="Arial" w:hAnsi="Arial" w:cs="Arial"/>
        </w:rPr>
        <w:t xml:space="preserve">. </w:t>
      </w:r>
      <w:r w:rsidRPr="00273653">
        <w:rPr>
          <w:rFonts w:ascii="Arial" w:hAnsi="Arial" w:cs="Arial"/>
        </w:rPr>
        <w:t>Such clarifications will be solely to provide consistent assumptions from which an accurate cost comparison can be achieved for scoring.</w:t>
      </w:r>
    </w:p>
    <w:p w14:paraId="0BF0FE80" w14:textId="77777777" w:rsidR="002A3195" w:rsidRDefault="002A3195" w:rsidP="002A3195">
      <w:pPr>
        <w:spacing w:after="0"/>
        <w:rPr>
          <w:rFonts w:ascii="Arial" w:hAnsi="Arial" w:cs="Arial"/>
        </w:rPr>
      </w:pPr>
      <w:r w:rsidRPr="00273653">
        <w:rPr>
          <w:rFonts w:ascii="Arial" w:hAnsi="Arial" w:cs="Arial"/>
        </w:rPr>
        <w:t xml:space="preserve">Costs outlined in the </w:t>
      </w:r>
      <w:r>
        <w:rPr>
          <w:rFonts w:ascii="Arial" w:hAnsi="Arial" w:cs="Arial"/>
        </w:rPr>
        <w:t>Cost</w:t>
      </w:r>
      <w:r w:rsidRPr="00273653">
        <w:rPr>
          <w:rFonts w:ascii="Arial" w:hAnsi="Arial" w:cs="Arial"/>
        </w:rPr>
        <w:t xml:space="preserve"> Proposal shall remain firm for the initial Contract period. </w:t>
      </w:r>
      <w:r w:rsidRPr="00F64E64">
        <w:rPr>
          <w:rFonts w:ascii="Arial" w:hAnsi="Arial" w:cs="Arial"/>
        </w:rPr>
        <w:t>All costs listed must reflect the level of customization and features represented in the Proposer</w:t>
      </w:r>
      <w:r>
        <w:rPr>
          <w:rFonts w:ascii="Arial" w:hAnsi="Arial" w:cs="Arial"/>
        </w:rPr>
        <w:t>’</w:t>
      </w:r>
      <w:r w:rsidRPr="00F64E64">
        <w:rPr>
          <w:rFonts w:ascii="Arial" w:hAnsi="Arial" w:cs="Arial"/>
        </w:rPr>
        <w:t>s response to th</w:t>
      </w:r>
      <w:r>
        <w:rPr>
          <w:rFonts w:ascii="Arial" w:hAnsi="Arial" w:cs="Arial"/>
        </w:rPr>
        <w:t>is</w:t>
      </w:r>
      <w:r w:rsidRPr="00F64E64">
        <w:rPr>
          <w:rFonts w:ascii="Arial" w:hAnsi="Arial" w:cs="Arial"/>
        </w:rPr>
        <w:t xml:space="preserve"> RFP.</w:t>
      </w:r>
    </w:p>
    <w:p w14:paraId="37603D42" w14:textId="77777777" w:rsidR="002A3195" w:rsidRDefault="002A3195" w:rsidP="002A3195">
      <w:pPr>
        <w:pStyle w:val="Heading2"/>
        <w:ind w:hanging="1926"/>
      </w:pPr>
      <w:r>
        <w:t>Travel Expenses</w:t>
      </w:r>
    </w:p>
    <w:p w14:paraId="021ACEC5" w14:textId="77777777" w:rsidR="002A3195" w:rsidRDefault="002A3195" w:rsidP="002A3195">
      <w:pPr>
        <w:pStyle w:val="Default"/>
        <w:rPr>
          <w:color w:val="auto"/>
          <w:sz w:val="22"/>
          <w:szCs w:val="22"/>
        </w:rPr>
      </w:pPr>
      <w:r>
        <w:rPr>
          <w:color w:val="auto"/>
          <w:sz w:val="22"/>
          <w:szCs w:val="22"/>
        </w:rPr>
        <w:t>The Contractor’s</w:t>
      </w:r>
      <w:r w:rsidRPr="00082528">
        <w:rPr>
          <w:color w:val="auto"/>
          <w:sz w:val="22"/>
          <w:szCs w:val="22"/>
        </w:rPr>
        <w:t xml:space="preserve"> and any </w:t>
      </w:r>
      <w:r>
        <w:rPr>
          <w:color w:val="auto"/>
          <w:sz w:val="22"/>
          <w:szCs w:val="22"/>
        </w:rPr>
        <w:t>S</w:t>
      </w:r>
      <w:r w:rsidRPr="00082528">
        <w:rPr>
          <w:color w:val="auto"/>
          <w:sz w:val="22"/>
          <w:szCs w:val="22"/>
        </w:rPr>
        <w:t xml:space="preserve">ubcontractors’ travel expenses (e.g. airfare, lodging, meals, and insurance) and other miscellaneous expenses related to the provision of </w:t>
      </w:r>
      <w:r>
        <w:rPr>
          <w:color w:val="auto"/>
          <w:sz w:val="22"/>
          <w:szCs w:val="22"/>
        </w:rPr>
        <w:t>S</w:t>
      </w:r>
      <w:r w:rsidRPr="00082528">
        <w:rPr>
          <w:color w:val="auto"/>
          <w:sz w:val="22"/>
          <w:szCs w:val="22"/>
        </w:rPr>
        <w:t>ervices must be included in the</w:t>
      </w:r>
      <w:r>
        <w:rPr>
          <w:color w:val="auto"/>
          <w:sz w:val="22"/>
          <w:szCs w:val="22"/>
        </w:rPr>
        <w:t xml:space="preserve"> Proposer’s</w:t>
      </w:r>
      <w:r w:rsidRPr="00082528">
        <w:rPr>
          <w:color w:val="auto"/>
          <w:sz w:val="22"/>
          <w:szCs w:val="22"/>
        </w:rPr>
        <w:t xml:space="preserve"> proposed cost and </w:t>
      </w:r>
      <w:r>
        <w:rPr>
          <w:color w:val="auto"/>
          <w:sz w:val="22"/>
          <w:szCs w:val="22"/>
        </w:rPr>
        <w:t>shall not</w:t>
      </w:r>
      <w:r w:rsidRPr="00082528">
        <w:rPr>
          <w:color w:val="auto"/>
          <w:sz w:val="22"/>
          <w:szCs w:val="22"/>
        </w:rPr>
        <w:t xml:space="preserve"> be an additional charge</w:t>
      </w:r>
      <w:r>
        <w:rPr>
          <w:color w:val="auto"/>
          <w:sz w:val="22"/>
          <w:szCs w:val="22"/>
        </w:rPr>
        <w:t xml:space="preserve"> to ETF.</w:t>
      </w:r>
      <w:r w:rsidRPr="00082528">
        <w:rPr>
          <w:color w:val="auto"/>
          <w:sz w:val="22"/>
          <w:szCs w:val="22"/>
        </w:rPr>
        <w:t xml:space="preserve"> </w:t>
      </w:r>
    </w:p>
    <w:p w14:paraId="597AFB1C" w14:textId="77777777" w:rsidR="002A3195" w:rsidRDefault="002A3195" w:rsidP="002A3195">
      <w:pPr>
        <w:pStyle w:val="Heading2"/>
        <w:ind w:hanging="1926"/>
      </w:pPr>
      <w:r>
        <w:t>Additional Services</w:t>
      </w:r>
    </w:p>
    <w:p w14:paraId="4C998B99" w14:textId="40171BCC" w:rsidR="002A3195" w:rsidRDefault="002A3195" w:rsidP="002A3195">
      <w:pPr>
        <w:pStyle w:val="Default"/>
        <w:rPr>
          <w:color w:val="auto"/>
          <w:sz w:val="22"/>
          <w:szCs w:val="22"/>
        </w:rPr>
      </w:pPr>
      <w:r>
        <w:rPr>
          <w:color w:val="auto"/>
          <w:sz w:val="22"/>
          <w:szCs w:val="22"/>
        </w:rPr>
        <w:t>Proposer</w:t>
      </w:r>
      <w:r w:rsidRPr="00082528">
        <w:rPr>
          <w:color w:val="auto"/>
          <w:sz w:val="22"/>
          <w:szCs w:val="22"/>
        </w:rPr>
        <w:t xml:space="preserve"> may submit additional detail</w:t>
      </w:r>
      <w:r>
        <w:rPr>
          <w:color w:val="auto"/>
          <w:sz w:val="22"/>
          <w:szCs w:val="22"/>
        </w:rPr>
        <w:t>, as instructed in Section 2.3</w:t>
      </w:r>
      <w:r w:rsidR="00B47B97">
        <w:rPr>
          <w:color w:val="auto"/>
          <w:sz w:val="22"/>
          <w:szCs w:val="22"/>
        </w:rPr>
        <w:t xml:space="preserve"> (Tab 5)</w:t>
      </w:r>
      <w:r>
        <w:rPr>
          <w:color w:val="auto"/>
          <w:sz w:val="22"/>
          <w:szCs w:val="22"/>
        </w:rPr>
        <w:t>,</w:t>
      </w:r>
      <w:r w:rsidRPr="00082528">
        <w:rPr>
          <w:color w:val="auto"/>
          <w:sz w:val="22"/>
          <w:szCs w:val="22"/>
        </w:rPr>
        <w:t xml:space="preserve"> for </w:t>
      </w:r>
      <w:r>
        <w:rPr>
          <w:color w:val="auto"/>
          <w:sz w:val="22"/>
          <w:szCs w:val="22"/>
        </w:rPr>
        <w:t xml:space="preserve">related </w:t>
      </w:r>
      <w:r w:rsidRPr="00082528">
        <w:rPr>
          <w:color w:val="auto"/>
          <w:sz w:val="22"/>
          <w:szCs w:val="22"/>
        </w:rPr>
        <w:t xml:space="preserve">services beyond </w:t>
      </w:r>
      <w:r>
        <w:rPr>
          <w:color w:val="auto"/>
          <w:sz w:val="22"/>
          <w:szCs w:val="22"/>
        </w:rPr>
        <w:t>the Services</w:t>
      </w:r>
      <w:r w:rsidRPr="00082528">
        <w:rPr>
          <w:color w:val="auto"/>
          <w:sz w:val="22"/>
          <w:szCs w:val="22"/>
        </w:rPr>
        <w:t xml:space="preserve"> in this RFP to be considered as part of contract negotiations. </w:t>
      </w:r>
    </w:p>
    <w:p w14:paraId="7B0A37F5" w14:textId="65D0A828" w:rsidR="002A3195" w:rsidRDefault="00D95407" w:rsidP="002A3195">
      <w:pPr>
        <w:spacing w:after="0"/>
      </w:pPr>
      <w:r>
        <w:rPr>
          <w:rFonts w:ascii="Arial" w:hAnsi="Arial" w:cs="Arial"/>
          <w:color w:val="000000"/>
        </w:rPr>
        <w:lastRenderedPageBreak/>
        <w:t>Additional S</w:t>
      </w:r>
      <w:r w:rsidR="002A3195" w:rsidRPr="00343EF8">
        <w:rPr>
          <w:rFonts w:ascii="Arial" w:hAnsi="Arial" w:cs="Arial"/>
          <w:color w:val="000000"/>
        </w:rPr>
        <w:t>ervices will only be implemented or delivered at the Department’s request. Their inclusion in the Contract is not a guarantee, either stated or implied, of the demand for the services. The Department is not obligated to implement or utilize any of</w:t>
      </w:r>
      <w:r>
        <w:rPr>
          <w:rFonts w:ascii="Arial" w:hAnsi="Arial" w:cs="Arial"/>
          <w:color w:val="000000"/>
        </w:rPr>
        <w:t xml:space="preserve"> the Additional S</w:t>
      </w:r>
      <w:r w:rsidR="002A3195">
        <w:rPr>
          <w:rFonts w:ascii="Arial" w:hAnsi="Arial" w:cs="Arial"/>
          <w:color w:val="000000"/>
        </w:rPr>
        <w:t>ervices listed on the Cost Proposal.</w:t>
      </w:r>
      <w:r w:rsidR="002A3195" w:rsidRPr="00343EF8">
        <w:rPr>
          <w:rFonts w:ascii="Arial" w:hAnsi="Arial" w:cs="Arial"/>
          <w:color w:val="000000"/>
        </w:rPr>
        <w:t xml:space="preserve"> Throughout the term of the Contract, the Department retains full control and flexibility with regard to the types, quantities, and timing of </w:t>
      </w:r>
      <w:r w:rsidR="002A3195">
        <w:rPr>
          <w:rFonts w:ascii="Arial" w:hAnsi="Arial" w:cs="Arial"/>
          <w:color w:val="000000"/>
        </w:rPr>
        <w:t>any</w:t>
      </w:r>
      <w:r>
        <w:rPr>
          <w:rFonts w:ascii="Arial" w:hAnsi="Arial" w:cs="Arial"/>
          <w:color w:val="000000"/>
        </w:rPr>
        <w:t xml:space="preserve"> Additional Service</w:t>
      </w:r>
      <w:r w:rsidR="002A3195" w:rsidRPr="00343EF8">
        <w:rPr>
          <w:rFonts w:ascii="Arial" w:hAnsi="Arial" w:cs="Arial"/>
          <w:color w:val="000000"/>
        </w:rPr>
        <w:t xml:space="preserve">. </w:t>
      </w:r>
      <w:r>
        <w:rPr>
          <w:rFonts w:ascii="Arial" w:hAnsi="Arial" w:cs="Arial"/>
          <w:color w:val="000000"/>
        </w:rPr>
        <w:t>Additional S</w:t>
      </w:r>
      <w:r w:rsidR="002A3195">
        <w:rPr>
          <w:rFonts w:ascii="Arial" w:hAnsi="Arial" w:cs="Arial"/>
          <w:color w:val="000000"/>
        </w:rPr>
        <w:t>ervices provided on the Cost Proposal</w:t>
      </w:r>
      <w:r w:rsidR="002A3195" w:rsidRPr="00343EF8">
        <w:rPr>
          <w:rFonts w:ascii="Arial" w:hAnsi="Arial" w:cs="Arial"/>
          <w:color w:val="000000"/>
        </w:rPr>
        <w:t xml:space="preserve"> may not be dependent on implementation or delivery of </w:t>
      </w:r>
      <w:r w:rsidR="002A3195">
        <w:rPr>
          <w:rFonts w:ascii="Arial" w:hAnsi="Arial" w:cs="Arial"/>
          <w:color w:val="000000"/>
        </w:rPr>
        <w:t>any Service in this RFP</w:t>
      </w:r>
      <w:r w:rsidR="002A3195" w:rsidRPr="00343EF8">
        <w:rPr>
          <w:rFonts w:ascii="Arial" w:hAnsi="Arial" w:cs="Arial"/>
          <w:color w:val="000000"/>
        </w:rPr>
        <w:t>.</w:t>
      </w:r>
    </w:p>
    <w:p w14:paraId="7601C110" w14:textId="3B125A3A" w:rsidR="008F2063" w:rsidRPr="00273653" w:rsidRDefault="008F2063" w:rsidP="00F05349">
      <w:pPr>
        <w:pStyle w:val="Heading1"/>
      </w:pPr>
      <w:bookmarkStart w:id="26" w:name="_Toc447705712"/>
      <w:bookmarkStart w:id="27" w:name="_Toc448905188"/>
      <w:bookmarkStart w:id="28" w:name="_Toc398562530"/>
      <w:r w:rsidRPr="00273653">
        <w:t>Contrac</w:t>
      </w:r>
      <w:r w:rsidR="00153AB7">
        <w:t>t</w:t>
      </w:r>
      <w:r w:rsidRPr="00273653">
        <w:t xml:space="preserve"> Terms and Conditions</w:t>
      </w:r>
      <w:bookmarkEnd w:id="26"/>
      <w:bookmarkEnd w:id="27"/>
    </w:p>
    <w:bookmarkEnd w:id="28"/>
    <w:p w14:paraId="041806FB" w14:textId="77777777" w:rsidR="002A3195" w:rsidRPr="00DF2107" w:rsidRDefault="002A3195" w:rsidP="002A3195">
      <w:pPr>
        <w:pStyle w:val="LRWLBodyText"/>
        <w:rPr>
          <w:rFonts w:cs="Arial"/>
          <w:b/>
        </w:rPr>
      </w:pPr>
      <w:r w:rsidRPr="00273653">
        <w:rPr>
          <w:rFonts w:cs="Arial"/>
          <w:b/>
        </w:rPr>
        <w:t>This se</w:t>
      </w:r>
      <w:r>
        <w:rPr>
          <w:rFonts w:cs="Arial"/>
          <w:b/>
        </w:rPr>
        <w:t>ction is NOT scored. (0 points)</w:t>
      </w:r>
    </w:p>
    <w:p w14:paraId="28D0705A" w14:textId="77777777" w:rsidR="002A3195" w:rsidRPr="00D820E4" w:rsidRDefault="002A3195" w:rsidP="002A3195">
      <w:pPr>
        <w:pStyle w:val="LRWLBodyText"/>
        <w:rPr>
          <w:rFonts w:cs="Arial"/>
        </w:rPr>
      </w:pPr>
      <w:r w:rsidRPr="00D820E4">
        <w:rPr>
          <w:rFonts w:cs="Arial"/>
        </w:rPr>
        <w:t xml:space="preserve">The Department will execute a State of Wisconsin contract with awarded </w:t>
      </w:r>
      <w:r>
        <w:rPr>
          <w:rFonts w:cs="Arial"/>
        </w:rPr>
        <w:t>Contractor</w:t>
      </w:r>
      <w:r w:rsidRPr="00D820E4">
        <w:rPr>
          <w:rFonts w:cs="Arial"/>
        </w:rPr>
        <w:t>. A</w:t>
      </w:r>
      <w:r w:rsidRPr="00D820E4">
        <w:rPr>
          <w:rFonts w:cs="Arial"/>
          <w:bCs/>
          <w:color w:val="222222"/>
          <w:lang w:val="en"/>
        </w:rPr>
        <w:t xml:space="preserve"> </w:t>
      </w:r>
      <w:r w:rsidRPr="00D820E4">
        <w:rPr>
          <w:rStyle w:val="tgc"/>
          <w:rFonts w:cs="Arial"/>
          <w:bCs/>
          <w:color w:val="222222"/>
          <w:lang w:val="en"/>
        </w:rPr>
        <w:t xml:space="preserve">pro forma </w:t>
      </w:r>
      <w:r>
        <w:rPr>
          <w:rStyle w:val="tgc"/>
          <w:rFonts w:cs="Arial"/>
          <w:bCs/>
          <w:color w:val="222222"/>
          <w:lang w:val="en"/>
        </w:rPr>
        <w:t xml:space="preserve">contract </w:t>
      </w:r>
      <w:r w:rsidRPr="00D820E4">
        <w:rPr>
          <w:rFonts w:cs="Arial"/>
        </w:rPr>
        <w:t>is located in Exhibit 1 (2 Pages).</w:t>
      </w:r>
    </w:p>
    <w:p w14:paraId="5F72E3C4" w14:textId="77777777" w:rsidR="002A3195" w:rsidRPr="00D820E4" w:rsidRDefault="002A3195" w:rsidP="002A3195">
      <w:pPr>
        <w:pStyle w:val="LRWLBodyText"/>
        <w:rPr>
          <w:rFonts w:cs="Arial"/>
        </w:rPr>
      </w:pPr>
      <w:r w:rsidRPr="00D820E4">
        <w:rPr>
          <w:rFonts w:cs="Arial"/>
        </w:rPr>
        <w:t>The Contract and any subsequent renewal(s) will incorporate all terms and conditions in this Section 9 including the following documents:</w:t>
      </w:r>
    </w:p>
    <w:p w14:paraId="5598C373" w14:textId="77777777" w:rsidR="002A3195" w:rsidRPr="00D820E4" w:rsidRDefault="002A3195" w:rsidP="002A3195">
      <w:pPr>
        <w:pStyle w:val="LRWLBodyTextBullet1"/>
      </w:pPr>
      <w:r w:rsidRPr="00D820E4">
        <w:t>Exhibit 2 - Standard Terms and Conditions (DOA-3054) (3 Pages);</w:t>
      </w:r>
    </w:p>
    <w:p w14:paraId="608EE62C" w14:textId="28E6479C" w:rsidR="002A3195" w:rsidRPr="00D820E4" w:rsidRDefault="002A3195" w:rsidP="002A3195">
      <w:pPr>
        <w:pStyle w:val="LRWLBodyTextBullet1"/>
      </w:pPr>
      <w:r w:rsidRPr="00D820E4">
        <w:t>Exhibit 3 - Supplemental Standard Terms and Conditions for Procurement for Services (DOA-3681) (1 Page); and</w:t>
      </w:r>
      <w:r w:rsidR="003D0A70">
        <w:t>,</w:t>
      </w:r>
    </w:p>
    <w:p w14:paraId="65210631" w14:textId="71BE67B1" w:rsidR="002A3195" w:rsidRPr="00D820E4" w:rsidRDefault="002A3195" w:rsidP="002A3195">
      <w:pPr>
        <w:pStyle w:val="LRWLBodyTextBullet1"/>
      </w:pPr>
      <w:r w:rsidRPr="00D820E4">
        <w:t>Exhibit 4 – Department Terms and Conditions (</w:t>
      </w:r>
      <w:r>
        <w:t>10</w:t>
      </w:r>
      <w:r w:rsidRPr="00D820E4">
        <w:t xml:space="preserve"> Pages)</w:t>
      </w:r>
      <w:r w:rsidR="00161843">
        <w:t>.</w:t>
      </w:r>
    </w:p>
    <w:p w14:paraId="68560EF9" w14:textId="77777777" w:rsidR="002A3195" w:rsidRDefault="002A3195" w:rsidP="002A3195">
      <w:pPr>
        <w:pStyle w:val="Heading2"/>
        <w:tabs>
          <w:tab w:val="clear" w:pos="1926"/>
          <w:tab w:val="num" w:pos="576"/>
        </w:tabs>
        <w:ind w:left="576"/>
      </w:pPr>
      <w:r>
        <w:t>Board and Department Authority</w:t>
      </w:r>
    </w:p>
    <w:p w14:paraId="488965AF" w14:textId="77777777" w:rsidR="002A3195" w:rsidRDefault="002A3195" w:rsidP="002A3195">
      <w:pPr>
        <w:pStyle w:val="LRWLBodyText"/>
        <w:rPr>
          <w:rFonts w:cs="Arial"/>
        </w:rPr>
      </w:pPr>
      <w:r>
        <w:rPr>
          <w:rFonts w:cs="Arial"/>
        </w:rPr>
        <w:t xml:space="preserve">The Department is acting as an agent of the Board in carrying out any directives or decisions relating to this RFP, Contract and subsequent awards. All references to the “Department”, “ETF”, “State of Wisconsin”, “State” or “Board” in any term, condition, or specification shall have the same authority as one entity. </w:t>
      </w:r>
    </w:p>
    <w:p w14:paraId="5A0ED4BF" w14:textId="77777777" w:rsidR="002A3195" w:rsidRDefault="002A3195" w:rsidP="002A3195">
      <w:pPr>
        <w:pStyle w:val="LRWLBodyText"/>
        <w:rPr>
          <w:rFonts w:cs="Arial"/>
        </w:rPr>
      </w:pPr>
      <w:r>
        <w:rPr>
          <w:rFonts w:cs="Arial"/>
        </w:rPr>
        <w:t>The Department is the sole point of contact for Board contracting.</w:t>
      </w:r>
    </w:p>
    <w:p w14:paraId="06048BFE" w14:textId="77777777" w:rsidR="002A3195" w:rsidRPr="00273653" w:rsidRDefault="002A3195" w:rsidP="002A3195">
      <w:pPr>
        <w:pStyle w:val="Heading2"/>
        <w:tabs>
          <w:tab w:val="clear" w:pos="1926"/>
          <w:tab w:val="num" w:pos="576"/>
        </w:tabs>
        <w:ind w:left="576"/>
      </w:pPr>
      <w:r w:rsidRPr="00273653">
        <w:t>Payment Terms</w:t>
      </w:r>
    </w:p>
    <w:p w14:paraId="777B3243" w14:textId="77777777" w:rsidR="002A3195" w:rsidRPr="00273653" w:rsidRDefault="002A3195" w:rsidP="002A3195">
      <w:pPr>
        <w:pStyle w:val="LRWLBodyTextBullet1"/>
        <w:rPr>
          <w:rFonts w:cs="Arial"/>
        </w:rPr>
      </w:pPr>
      <w:r w:rsidRPr="00273653">
        <w:rPr>
          <w:rFonts w:cs="Arial"/>
        </w:rPr>
        <w:t>Invoices must be itemized by cost categories of expenses actually incurred.</w:t>
      </w:r>
    </w:p>
    <w:p w14:paraId="4C442DE0" w14:textId="77777777" w:rsidR="002A3195" w:rsidRPr="00273653" w:rsidRDefault="002A3195" w:rsidP="002A3195">
      <w:pPr>
        <w:pStyle w:val="LRWLBodyTextBullet1"/>
        <w:rPr>
          <w:rFonts w:cs="Arial"/>
        </w:rPr>
      </w:pPr>
      <w:r w:rsidRPr="00273653">
        <w:rPr>
          <w:rFonts w:cs="Arial"/>
        </w:rPr>
        <w:t>Invoices shall include the purchase order number when issued.</w:t>
      </w:r>
    </w:p>
    <w:p w14:paraId="6EA0B5D3" w14:textId="77777777" w:rsidR="002A3195" w:rsidRDefault="002A3195" w:rsidP="002A3195">
      <w:pPr>
        <w:pStyle w:val="LRWLBodyTextBullet1"/>
        <w:rPr>
          <w:rFonts w:cs="Arial"/>
        </w:rPr>
      </w:pPr>
      <w:r w:rsidRPr="00273653">
        <w:rPr>
          <w:rFonts w:cs="Arial"/>
        </w:rPr>
        <w:t xml:space="preserve">Invoices </w:t>
      </w:r>
      <w:r>
        <w:rPr>
          <w:rFonts w:cs="Arial"/>
        </w:rPr>
        <w:t>will be</w:t>
      </w:r>
      <w:r w:rsidRPr="00273653">
        <w:rPr>
          <w:rFonts w:cs="Arial"/>
        </w:rPr>
        <w:t xml:space="preserve"> submitted in</w:t>
      </w:r>
      <w:r>
        <w:rPr>
          <w:rFonts w:cs="Arial"/>
        </w:rPr>
        <w:t xml:space="preserve"> accordance with ETF direction.</w:t>
      </w:r>
    </w:p>
    <w:p w14:paraId="449361C8" w14:textId="6DB228C9" w:rsidR="005C40DC" w:rsidRPr="00273653" w:rsidRDefault="002A3195" w:rsidP="003D0A70">
      <w:pPr>
        <w:pStyle w:val="LRWLBodyTextBullet1"/>
      </w:pPr>
      <w:r>
        <w:rPr>
          <w:rFonts w:cs="Arial"/>
        </w:rPr>
        <w:t>ETF anticipates invoices will be received monthly.</w:t>
      </w:r>
    </w:p>
    <w:p w14:paraId="3A5FC8CE" w14:textId="5D625EEC" w:rsidR="003434C9" w:rsidRDefault="003434C9" w:rsidP="0002188E">
      <w:pPr>
        <w:pStyle w:val="Heading1"/>
      </w:pPr>
      <w:bookmarkStart w:id="29" w:name="_Procuring_and_Contracting"/>
      <w:bookmarkStart w:id="30" w:name="_Toc332790222"/>
      <w:bookmarkStart w:id="31" w:name="_Toc448905189"/>
      <w:bookmarkEnd w:id="1"/>
      <w:bookmarkEnd w:id="2"/>
      <w:bookmarkEnd w:id="29"/>
      <w:bookmarkEnd w:id="30"/>
      <w:r>
        <w:t>Required Forms</w:t>
      </w:r>
      <w:bookmarkEnd w:id="31"/>
      <w:r>
        <w:t xml:space="preserve"> </w:t>
      </w:r>
    </w:p>
    <w:p w14:paraId="61756116" w14:textId="734BAF65" w:rsidR="00EC243F" w:rsidRPr="00B02D40" w:rsidRDefault="001A6E9D" w:rsidP="003434C9">
      <w:pPr>
        <w:spacing w:before="0" w:after="0"/>
        <w:rPr>
          <w:rFonts w:ascii="Arial" w:eastAsia="Calibri" w:hAnsi="Arial" w:cs="Arial"/>
          <w:bCs/>
        </w:rPr>
      </w:pPr>
      <w:r w:rsidRPr="00B02D40">
        <w:rPr>
          <w:rFonts w:ascii="Arial" w:eastAsia="Calibri" w:hAnsi="Arial" w:cs="Arial"/>
          <w:bCs/>
        </w:rPr>
        <w:t xml:space="preserve">The following documents must be completed and submitted with the </w:t>
      </w:r>
      <w:r w:rsidR="00F05349">
        <w:rPr>
          <w:rFonts w:ascii="Arial" w:eastAsia="Calibri" w:hAnsi="Arial" w:cs="Arial"/>
          <w:bCs/>
        </w:rPr>
        <w:t>Proposer’s</w:t>
      </w:r>
      <w:r w:rsidR="00F05349" w:rsidRPr="00B02D40">
        <w:rPr>
          <w:rFonts w:ascii="Arial" w:eastAsia="Calibri" w:hAnsi="Arial" w:cs="Arial"/>
          <w:bCs/>
        </w:rPr>
        <w:t xml:space="preserve"> </w:t>
      </w:r>
      <w:r w:rsidRPr="00B02D40">
        <w:rPr>
          <w:rFonts w:ascii="Arial" w:eastAsia="Calibri" w:hAnsi="Arial" w:cs="Arial"/>
          <w:bCs/>
        </w:rPr>
        <w:t>Proposal in accordance with the instructions given in Section 2.4 Proposal Organization and Format:</w:t>
      </w:r>
    </w:p>
    <w:p w14:paraId="67789B8F" w14:textId="77777777" w:rsidR="00EC243F" w:rsidRPr="003434C9" w:rsidRDefault="00EC243F" w:rsidP="003434C9">
      <w:pPr>
        <w:spacing w:before="0" w:after="0"/>
        <w:rPr>
          <w:rFonts w:ascii="Arial" w:eastAsia="Calibri" w:hAnsi="Arial" w:cs="Arial"/>
          <w:b/>
          <w:bCs/>
        </w:rPr>
      </w:pPr>
    </w:p>
    <w:p w14:paraId="4272CB35" w14:textId="603DA8FE" w:rsidR="00DE2013" w:rsidRPr="00EC243F" w:rsidRDefault="00DE2013" w:rsidP="00F01E1A">
      <w:pPr>
        <w:numPr>
          <w:ilvl w:val="0"/>
          <w:numId w:val="48"/>
        </w:numPr>
        <w:spacing w:before="0" w:after="0"/>
        <w:rPr>
          <w:rFonts w:ascii="Arial" w:eastAsia="Calibri" w:hAnsi="Arial" w:cs="Arial"/>
        </w:rPr>
      </w:pPr>
      <w:r>
        <w:rPr>
          <w:rFonts w:ascii="Arial" w:eastAsia="Calibri" w:hAnsi="Arial" w:cs="Arial"/>
        </w:rPr>
        <w:t xml:space="preserve">Attachment A </w:t>
      </w:r>
      <w:r w:rsidR="007F1ACF">
        <w:rPr>
          <w:rFonts w:ascii="Arial" w:eastAsia="Calibri" w:hAnsi="Arial" w:cs="Arial"/>
        </w:rPr>
        <w:t xml:space="preserve">– </w:t>
      </w:r>
      <w:r w:rsidR="003434C9" w:rsidRPr="00EC243F">
        <w:rPr>
          <w:rFonts w:ascii="Arial" w:eastAsia="Calibri" w:hAnsi="Arial" w:cs="Arial"/>
        </w:rPr>
        <w:t>Proposer Checklist</w:t>
      </w:r>
    </w:p>
    <w:p w14:paraId="0F320EDB" w14:textId="388909CA" w:rsidR="003434C9" w:rsidRPr="003434C9" w:rsidRDefault="00DE2013" w:rsidP="00F01E1A">
      <w:pPr>
        <w:numPr>
          <w:ilvl w:val="0"/>
          <w:numId w:val="48"/>
        </w:numPr>
        <w:spacing w:before="0" w:after="0"/>
        <w:rPr>
          <w:rFonts w:ascii="Arial" w:eastAsia="Calibri" w:hAnsi="Arial" w:cs="Arial"/>
        </w:rPr>
      </w:pPr>
      <w:r>
        <w:rPr>
          <w:rFonts w:ascii="Arial" w:eastAsia="Calibri" w:hAnsi="Arial" w:cs="Arial"/>
        </w:rPr>
        <w:t xml:space="preserve">Attachment B </w:t>
      </w:r>
      <w:r w:rsidR="007F1ACF">
        <w:rPr>
          <w:rFonts w:ascii="Arial" w:eastAsia="Calibri" w:hAnsi="Arial" w:cs="Arial"/>
        </w:rPr>
        <w:t xml:space="preserve">– </w:t>
      </w:r>
      <w:r w:rsidR="003434C9" w:rsidRPr="003434C9">
        <w:rPr>
          <w:rFonts w:ascii="Arial" w:eastAsia="Calibri" w:hAnsi="Arial" w:cs="Arial"/>
        </w:rPr>
        <w:t xml:space="preserve">Mandatory </w:t>
      </w:r>
      <w:r w:rsidR="00F05349">
        <w:rPr>
          <w:rFonts w:ascii="Arial" w:eastAsia="Calibri" w:hAnsi="Arial" w:cs="Arial"/>
        </w:rPr>
        <w:t>Proposer</w:t>
      </w:r>
      <w:r w:rsidR="00F05349" w:rsidRPr="003434C9">
        <w:rPr>
          <w:rFonts w:ascii="Arial" w:eastAsia="Calibri" w:hAnsi="Arial" w:cs="Arial"/>
        </w:rPr>
        <w:t xml:space="preserve"> </w:t>
      </w:r>
      <w:r w:rsidR="003434C9" w:rsidRPr="003434C9">
        <w:rPr>
          <w:rFonts w:ascii="Arial" w:eastAsia="Calibri" w:hAnsi="Arial" w:cs="Arial"/>
        </w:rPr>
        <w:t>Qualifications</w:t>
      </w:r>
    </w:p>
    <w:p w14:paraId="0E70A53A" w14:textId="7C496B56" w:rsidR="003434C9" w:rsidRDefault="00DE2013" w:rsidP="00F01E1A">
      <w:pPr>
        <w:numPr>
          <w:ilvl w:val="0"/>
          <w:numId w:val="48"/>
        </w:numPr>
        <w:spacing w:before="0" w:after="0"/>
        <w:rPr>
          <w:rFonts w:ascii="Arial" w:eastAsia="Calibri" w:hAnsi="Arial" w:cs="Arial"/>
        </w:rPr>
      </w:pPr>
      <w:r>
        <w:rPr>
          <w:rFonts w:ascii="Arial" w:eastAsia="Calibri" w:hAnsi="Arial" w:cs="Arial"/>
        </w:rPr>
        <w:t xml:space="preserve">Attachment C </w:t>
      </w:r>
      <w:r w:rsidR="007F1ACF">
        <w:rPr>
          <w:rFonts w:ascii="Arial" w:eastAsia="Calibri" w:hAnsi="Arial" w:cs="Arial"/>
        </w:rPr>
        <w:t xml:space="preserve">– </w:t>
      </w:r>
      <w:r w:rsidR="003434C9" w:rsidRPr="003434C9">
        <w:rPr>
          <w:rFonts w:ascii="Arial" w:eastAsia="Calibri" w:hAnsi="Arial" w:cs="Arial"/>
        </w:rPr>
        <w:t>Cost Proposal</w:t>
      </w:r>
    </w:p>
    <w:p w14:paraId="1D26E279" w14:textId="05657503" w:rsidR="009D45F2" w:rsidRPr="003434C9" w:rsidRDefault="009D45F2" w:rsidP="00F01E1A">
      <w:pPr>
        <w:numPr>
          <w:ilvl w:val="0"/>
          <w:numId w:val="48"/>
        </w:numPr>
        <w:spacing w:before="0" w:after="0"/>
        <w:rPr>
          <w:rFonts w:ascii="Arial" w:eastAsia="Calibri" w:hAnsi="Arial" w:cs="Arial"/>
        </w:rPr>
      </w:pPr>
      <w:r>
        <w:rPr>
          <w:rFonts w:ascii="Arial" w:eastAsia="Calibri" w:hAnsi="Arial" w:cs="Arial"/>
        </w:rPr>
        <w:t>Attachment D – Financial Compliance</w:t>
      </w:r>
    </w:p>
    <w:p w14:paraId="127F685B" w14:textId="6A1A9E50" w:rsidR="003434C9" w:rsidRPr="003434C9" w:rsidRDefault="00DE2013" w:rsidP="00F01E1A">
      <w:pPr>
        <w:numPr>
          <w:ilvl w:val="0"/>
          <w:numId w:val="48"/>
        </w:numPr>
        <w:spacing w:before="0" w:after="0"/>
        <w:rPr>
          <w:rFonts w:ascii="Arial" w:eastAsia="Calibri" w:hAnsi="Arial" w:cs="Arial"/>
        </w:rPr>
      </w:pPr>
      <w:r>
        <w:rPr>
          <w:rFonts w:ascii="Arial" w:eastAsia="Calibri" w:hAnsi="Arial" w:cs="Arial"/>
        </w:rPr>
        <w:t xml:space="preserve">Attachment </w:t>
      </w:r>
      <w:r w:rsidR="009D45F2">
        <w:rPr>
          <w:rFonts w:ascii="Arial" w:eastAsia="Calibri" w:hAnsi="Arial" w:cs="Arial"/>
        </w:rPr>
        <w:t xml:space="preserve">E </w:t>
      </w:r>
      <w:r w:rsidR="007F1ACF">
        <w:rPr>
          <w:rFonts w:ascii="Arial" w:eastAsia="Calibri" w:hAnsi="Arial" w:cs="Arial"/>
        </w:rPr>
        <w:t xml:space="preserve">– </w:t>
      </w:r>
      <w:r w:rsidR="003434C9" w:rsidRPr="003434C9">
        <w:rPr>
          <w:rFonts w:ascii="Arial" w:eastAsia="Calibri" w:hAnsi="Arial" w:cs="Arial"/>
        </w:rPr>
        <w:t>Subcontractor</w:t>
      </w:r>
      <w:r w:rsidR="00A65DFA">
        <w:rPr>
          <w:rFonts w:ascii="Arial" w:eastAsia="Calibri" w:hAnsi="Arial" w:cs="Arial"/>
        </w:rPr>
        <w:t xml:space="preserve"> Information</w:t>
      </w:r>
    </w:p>
    <w:p w14:paraId="39CAF78F" w14:textId="1A385BD9" w:rsidR="003434C9" w:rsidRDefault="00EC243F" w:rsidP="00F01E1A">
      <w:pPr>
        <w:numPr>
          <w:ilvl w:val="0"/>
          <w:numId w:val="48"/>
        </w:numPr>
        <w:spacing w:before="0" w:after="0"/>
        <w:rPr>
          <w:rFonts w:ascii="Arial" w:eastAsia="Calibri" w:hAnsi="Arial" w:cs="Arial"/>
        </w:rPr>
      </w:pPr>
      <w:r>
        <w:rPr>
          <w:rFonts w:ascii="Arial" w:eastAsia="Calibri" w:hAnsi="Arial" w:cs="Arial"/>
        </w:rPr>
        <w:lastRenderedPageBreak/>
        <w:t xml:space="preserve">Attachment </w:t>
      </w:r>
      <w:r w:rsidR="009D45F2">
        <w:rPr>
          <w:rFonts w:ascii="Arial" w:eastAsia="Calibri" w:hAnsi="Arial" w:cs="Arial"/>
        </w:rPr>
        <w:t>F</w:t>
      </w:r>
      <w:r>
        <w:rPr>
          <w:rFonts w:ascii="Arial" w:eastAsia="Calibri" w:hAnsi="Arial" w:cs="Arial"/>
        </w:rPr>
        <w:t xml:space="preserve"> </w:t>
      </w:r>
      <w:r w:rsidR="007F1ACF">
        <w:rPr>
          <w:rFonts w:ascii="Arial" w:eastAsia="Calibri" w:hAnsi="Arial" w:cs="Arial"/>
        </w:rPr>
        <w:t xml:space="preserve">– </w:t>
      </w:r>
      <w:r w:rsidR="003434C9" w:rsidRPr="003434C9">
        <w:rPr>
          <w:rFonts w:ascii="Arial" w:eastAsia="Calibri" w:hAnsi="Arial" w:cs="Arial"/>
        </w:rPr>
        <w:t xml:space="preserve">DOA-3027 Designation of Confidential and Proprietary Information </w:t>
      </w:r>
    </w:p>
    <w:p w14:paraId="6ECACF34" w14:textId="1B090FB5" w:rsidR="003434C9" w:rsidRDefault="00EC243F" w:rsidP="00F01E1A">
      <w:pPr>
        <w:numPr>
          <w:ilvl w:val="0"/>
          <w:numId w:val="48"/>
        </w:numPr>
        <w:spacing w:before="0" w:after="0"/>
        <w:rPr>
          <w:rFonts w:ascii="Arial" w:eastAsia="Calibri" w:hAnsi="Arial" w:cs="Arial"/>
        </w:rPr>
      </w:pPr>
      <w:r>
        <w:rPr>
          <w:rFonts w:ascii="Arial" w:eastAsia="Calibri" w:hAnsi="Arial" w:cs="Arial"/>
        </w:rPr>
        <w:t xml:space="preserve">Attachment </w:t>
      </w:r>
      <w:r w:rsidR="009D45F2">
        <w:rPr>
          <w:rFonts w:ascii="Arial" w:eastAsia="Calibri" w:hAnsi="Arial" w:cs="Arial"/>
        </w:rPr>
        <w:t>G</w:t>
      </w:r>
      <w:r>
        <w:rPr>
          <w:rFonts w:ascii="Arial" w:eastAsia="Calibri" w:hAnsi="Arial" w:cs="Arial"/>
        </w:rPr>
        <w:t xml:space="preserve"> </w:t>
      </w:r>
      <w:r w:rsidR="007F1ACF">
        <w:rPr>
          <w:rFonts w:ascii="Arial" w:eastAsia="Calibri" w:hAnsi="Arial" w:cs="Arial"/>
        </w:rPr>
        <w:t xml:space="preserve">– </w:t>
      </w:r>
      <w:r w:rsidR="003434C9" w:rsidRPr="003434C9">
        <w:rPr>
          <w:rFonts w:ascii="Arial" w:eastAsia="Calibri" w:hAnsi="Arial" w:cs="Arial"/>
        </w:rPr>
        <w:t>DOA-3261 Request for Proposal</w:t>
      </w:r>
    </w:p>
    <w:p w14:paraId="049237D1" w14:textId="4BE4BE17" w:rsidR="003434C9" w:rsidRDefault="00EC243F" w:rsidP="00F01E1A">
      <w:pPr>
        <w:numPr>
          <w:ilvl w:val="0"/>
          <w:numId w:val="48"/>
        </w:numPr>
        <w:spacing w:before="0" w:after="0"/>
        <w:rPr>
          <w:rFonts w:ascii="Arial" w:eastAsia="Calibri" w:hAnsi="Arial" w:cs="Arial"/>
        </w:rPr>
      </w:pPr>
      <w:r>
        <w:rPr>
          <w:rFonts w:ascii="Arial" w:eastAsia="Calibri" w:hAnsi="Arial" w:cs="Arial"/>
        </w:rPr>
        <w:t xml:space="preserve">Attachment </w:t>
      </w:r>
      <w:r w:rsidR="009D45F2">
        <w:rPr>
          <w:rFonts w:ascii="Arial" w:eastAsia="Calibri" w:hAnsi="Arial" w:cs="Arial"/>
        </w:rPr>
        <w:t>H</w:t>
      </w:r>
      <w:r>
        <w:rPr>
          <w:rFonts w:ascii="Arial" w:eastAsia="Calibri" w:hAnsi="Arial" w:cs="Arial"/>
        </w:rPr>
        <w:t xml:space="preserve"> </w:t>
      </w:r>
      <w:r w:rsidR="007F1ACF">
        <w:rPr>
          <w:rFonts w:ascii="Arial" w:eastAsia="Calibri" w:hAnsi="Arial" w:cs="Arial"/>
        </w:rPr>
        <w:t xml:space="preserve">– </w:t>
      </w:r>
      <w:r w:rsidR="003434C9" w:rsidRPr="003434C9">
        <w:rPr>
          <w:rFonts w:ascii="Arial" w:eastAsia="Calibri" w:hAnsi="Arial" w:cs="Arial"/>
        </w:rPr>
        <w:t>DOA-3477 Vendor Information</w:t>
      </w:r>
    </w:p>
    <w:p w14:paraId="7F8C678C" w14:textId="215D4802" w:rsidR="003434C9" w:rsidRDefault="00EC243F" w:rsidP="00F01E1A">
      <w:pPr>
        <w:numPr>
          <w:ilvl w:val="0"/>
          <w:numId w:val="48"/>
        </w:numPr>
        <w:spacing w:before="0" w:after="0"/>
        <w:rPr>
          <w:rFonts w:ascii="Arial" w:eastAsia="Calibri" w:hAnsi="Arial" w:cs="Arial"/>
        </w:rPr>
      </w:pPr>
      <w:r>
        <w:rPr>
          <w:rFonts w:ascii="Arial" w:eastAsia="Calibri" w:hAnsi="Arial" w:cs="Arial"/>
        </w:rPr>
        <w:t xml:space="preserve">Attachment </w:t>
      </w:r>
      <w:r w:rsidR="009D45F2">
        <w:rPr>
          <w:rFonts w:ascii="Arial" w:eastAsia="Calibri" w:hAnsi="Arial" w:cs="Arial"/>
        </w:rPr>
        <w:t>I</w:t>
      </w:r>
      <w:r>
        <w:rPr>
          <w:rFonts w:ascii="Arial" w:eastAsia="Calibri" w:hAnsi="Arial" w:cs="Arial"/>
        </w:rPr>
        <w:t xml:space="preserve"> </w:t>
      </w:r>
      <w:r w:rsidR="007F1ACF">
        <w:rPr>
          <w:rFonts w:ascii="Arial" w:eastAsia="Calibri" w:hAnsi="Arial" w:cs="Arial"/>
        </w:rPr>
        <w:t xml:space="preserve">– </w:t>
      </w:r>
      <w:r w:rsidR="003434C9" w:rsidRPr="003434C9">
        <w:rPr>
          <w:rFonts w:ascii="Arial" w:eastAsia="Calibri" w:hAnsi="Arial" w:cs="Arial"/>
        </w:rPr>
        <w:t>DOA-3478 Vendor References</w:t>
      </w:r>
    </w:p>
    <w:p w14:paraId="1EDE496E" w14:textId="697B8DB8" w:rsidR="003434C9" w:rsidRDefault="003434C9" w:rsidP="00F01E1A">
      <w:pPr>
        <w:numPr>
          <w:ilvl w:val="0"/>
          <w:numId w:val="48"/>
        </w:numPr>
        <w:spacing w:before="0" w:after="0"/>
        <w:rPr>
          <w:rFonts w:ascii="Arial" w:eastAsia="Calibri" w:hAnsi="Arial" w:cs="Arial"/>
        </w:rPr>
      </w:pPr>
      <w:r w:rsidRPr="003434C9">
        <w:rPr>
          <w:rFonts w:ascii="Arial" w:eastAsia="Calibri" w:hAnsi="Arial" w:cs="Arial"/>
        </w:rPr>
        <w:t xml:space="preserve">Current Form W-9 Request for Taxpayer Identification Number and Certification (from the Department of the Treasury, Internal Revenue Service: </w:t>
      </w:r>
      <w:hyperlink r:id="rId27" w:history="1">
        <w:r w:rsidR="00DE2013" w:rsidRPr="00D14777">
          <w:rPr>
            <w:rStyle w:val="Hyperlink"/>
            <w:rFonts w:ascii="Arial" w:eastAsia="Calibri" w:hAnsi="Arial" w:cs="Arial"/>
          </w:rPr>
          <w:t>https://www.irs.gov/pub/irs-pdf/fw9.pdf</w:t>
        </w:r>
      </w:hyperlink>
      <w:r w:rsidRPr="003434C9">
        <w:rPr>
          <w:rFonts w:ascii="Arial" w:eastAsia="Calibri" w:hAnsi="Arial" w:cs="Arial"/>
        </w:rPr>
        <w:t>)</w:t>
      </w:r>
    </w:p>
    <w:p w14:paraId="508D7FC6" w14:textId="09672D3E" w:rsidR="00564C5E" w:rsidRPr="005D0014" w:rsidRDefault="00564C5E" w:rsidP="0002188E"/>
    <w:sectPr w:rsidR="00564C5E" w:rsidRPr="005D0014" w:rsidSect="00B55974">
      <w:footerReference w:type="default" r:id="rId28"/>
      <w:pgSz w:w="12240" w:h="15840"/>
      <w:pgMar w:top="1260" w:right="1440" w:bottom="1008" w:left="1440" w:header="720"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32D13" w14:textId="77777777" w:rsidR="00D95407" w:rsidRDefault="00D95407">
      <w:r>
        <w:separator/>
      </w:r>
    </w:p>
  </w:endnote>
  <w:endnote w:type="continuationSeparator" w:id="0">
    <w:p w14:paraId="05567544" w14:textId="77777777" w:rsidR="00D95407" w:rsidRDefault="00D95407">
      <w:r>
        <w:continuationSeparator/>
      </w:r>
    </w:p>
  </w:endnote>
  <w:endnote w:type="continuationNotice" w:id="1">
    <w:p w14:paraId="2896665A" w14:textId="77777777" w:rsidR="00D95407" w:rsidRDefault="00D9540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eamViewer11Host">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DD381" w14:textId="0438D5A1" w:rsidR="00D95407" w:rsidRPr="00D702E0" w:rsidRDefault="00D95407" w:rsidP="008208F2">
    <w:pPr>
      <w:pStyle w:val="Footer"/>
      <w:pBdr>
        <w:top w:val="double" w:sz="4" w:space="1" w:color="auto"/>
      </w:pBdr>
      <w:tabs>
        <w:tab w:val="clear" w:pos="4320"/>
        <w:tab w:val="clear" w:pos="8640"/>
        <w:tab w:val="center" w:pos="4680"/>
      </w:tabs>
      <w:ind w:left="-360" w:right="-360"/>
      <w:rPr>
        <w:rFonts w:ascii="Arial" w:hAnsi="Arial" w:cs="Arial"/>
        <w:sz w:val="16"/>
        <w:szCs w:val="18"/>
      </w:rPr>
    </w:pPr>
    <w:r>
      <w:rPr>
        <w:rFonts w:ascii="Arial" w:hAnsi="Arial" w:cs="Arial"/>
        <w:sz w:val="18"/>
      </w:rPr>
      <w:t>RFP ETG0005</w:t>
    </w:r>
    <w:r w:rsidRPr="00D702E0">
      <w:rPr>
        <w:rFonts w:ascii="Arial" w:hAnsi="Arial" w:cs="Arial"/>
        <w:sz w:val="18"/>
      </w:rPr>
      <w:t xml:space="preserve"> – </w:t>
    </w:r>
    <w:r w:rsidRPr="00DC7028">
      <w:rPr>
        <w:rFonts w:ascii="Arial" w:hAnsi="Arial" w:cs="Arial"/>
        <w:sz w:val="18"/>
      </w:rPr>
      <w:t xml:space="preserve">Third Party Administration of </w:t>
    </w:r>
    <w:r>
      <w:rPr>
        <w:rFonts w:ascii="Arial" w:hAnsi="Arial" w:cs="Arial"/>
        <w:sz w:val="18"/>
      </w:rPr>
      <w:t>Wellness and Disease Management Programs</w:t>
    </w:r>
    <w:r w:rsidRPr="00D702E0">
      <w:rPr>
        <w:rFonts w:ascii="Arial" w:hAnsi="Arial" w:cs="Arial"/>
        <w:sz w:val="16"/>
        <w:szCs w:val="18"/>
      </w:rPr>
      <w:tab/>
    </w:r>
    <w:r w:rsidRPr="00D702E0">
      <w:rPr>
        <w:rFonts w:ascii="Arial" w:hAnsi="Arial" w:cs="Arial"/>
        <w:sz w:val="16"/>
        <w:szCs w:val="18"/>
      </w:rPr>
      <w:tab/>
    </w:r>
    <w:r w:rsidRPr="00D702E0">
      <w:rPr>
        <w:rFonts w:ascii="Arial" w:hAnsi="Arial" w:cs="Arial"/>
        <w:sz w:val="16"/>
        <w:szCs w:val="18"/>
      </w:rPr>
      <w:tab/>
    </w:r>
    <w:r w:rsidRPr="00D702E0">
      <w:rPr>
        <w:rFonts w:ascii="Arial" w:hAnsi="Arial" w:cs="Arial"/>
        <w:sz w:val="16"/>
        <w:szCs w:val="18"/>
      </w:rPr>
      <w:tab/>
    </w:r>
    <w:r w:rsidRPr="00D702E0">
      <w:rPr>
        <w:rFonts w:ascii="Arial" w:hAnsi="Arial" w:cs="Arial"/>
        <w:sz w:val="16"/>
        <w:szCs w:val="18"/>
      </w:rPr>
      <w:tab/>
    </w:r>
    <w:r w:rsidRPr="00D702E0">
      <w:rPr>
        <w:rFonts w:ascii="Arial" w:hAnsi="Arial" w:cs="Arial"/>
        <w:sz w:val="18"/>
        <w:szCs w:val="18"/>
      </w:rPr>
      <w:t xml:space="preserve">Page </w:t>
    </w:r>
    <w:r w:rsidRPr="00D702E0">
      <w:rPr>
        <w:rFonts w:ascii="Arial" w:hAnsi="Arial" w:cs="Arial"/>
        <w:sz w:val="18"/>
        <w:szCs w:val="18"/>
      </w:rPr>
      <w:fldChar w:fldCharType="begin"/>
    </w:r>
    <w:r w:rsidRPr="00D702E0">
      <w:rPr>
        <w:rFonts w:ascii="Arial" w:hAnsi="Arial" w:cs="Arial"/>
        <w:sz w:val="18"/>
        <w:szCs w:val="18"/>
      </w:rPr>
      <w:instrText xml:space="preserve"> PAGE   \* MERGEFORMAT </w:instrText>
    </w:r>
    <w:r w:rsidRPr="00D702E0">
      <w:rPr>
        <w:rFonts w:ascii="Arial" w:hAnsi="Arial" w:cs="Arial"/>
        <w:sz w:val="18"/>
        <w:szCs w:val="18"/>
      </w:rPr>
      <w:fldChar w:fldCharType="separate"/>
    </w:r>
    <w:r w:rsidR="00881E02">
      <w:rPr>
        <w:rFonts w:ascii="Arial" w:hAnsi="Arial" w:cs="Arial"/>
        <w:noProof/>
        <w:sz w:val="18"/>
        <w:szCs w:val="18"/>
      </w:rPr>
      <w:t>17</w:t>
    </w:r>
    <w:r w:rsidRPr="00D702E0">
      <w:rPr>
        <w:rFonts w:ascii="Arial" w:hAnsi="Arial" w:cs="Arial"/>
        <w:noProof/>
        <w:sz w:val="18"/>
        <w:szCs w:val="18"/>
      </w:rPr>
      <w:fldChar w:fldCharType="end"/>
    </w:r>
    <w:r w:rsidRPr="00D702E0">
      <w:rPr>
        <w:rFonts w:ascii="Arial" w:hAnsi="Arial" w:cs="Arial"/>
        <w:sz w:val="16"/>
        <w:szCs w:val="18"/>
      </w:rPr>
      <w:tab/>
    </w:r>
  </w:p>
  <w:p w14:paraId="48E7EBBB" w14:textId="77777777" w:rsidR="00D95407" w:rsidRPr="000426A9" w:rsidRDefault="00D95407" w:rsidP="000426A9">
    <w:pPr>
      <w:pStyle w:val="Footer"/>
    </w:pPr>
  </w:p>
  <w:p w14:paraId="3B17E946" w14:textId="77777777" w:rsidR="00D95407" w:rsidRDefault="00D954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0C12D" w14:textId="77777777" w:rsidR="00D95407" w:rsidRDefault="00D95407">
      <w:r>
        <w:separator/>
      </w:r>
    </w:p>
  </w:footnote>
  <w:footnote w:type="continuationSeparator" w:id="0">
    <w:p w14:paraId="5032A944" w14:textId="77777777" w:rsidR="00D95407" w:rsidRDefault="00D95407">
      <w:r>
        <w:continuationSeparator/>
      </w:r>
    </w:p>
  </w:footnote>
  <w:footnote w:type="continuationNotice" w:id="1">
    <w:p w14:paraId="542EB1AB" w14:textId="77777777" w:rsidR="00D95407" w:rsidRDefault="00D95407">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E38"/>
    <w:multiLevelType w:val="hybridMultilevel"/>
    <w:tmpl w:val="91DC2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F2544"/>
    <w:multiLevelType w:val="hybridMultilevel"/>
    <w:tmpl w:val="5FA23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66A2D"/>
    <w:multiLevelType w:val="hybridMultilevel"/>
    <w:tmpl w:val="37CAA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1623D"/>
    <w:multiLevelType w:val="hybridMultilevel"/>
    <w:tmpl w:val="FAB6CEA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095190"/>
    <w:multiLevelType w:val="hybridMultilevel"/>
    <w:tmpl w:val="4746AE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9D31D5"/>
    <w:multiLevelType w:val="hybridMultilevel"/>
    <w:tmpl w:val="DB247A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38525D"/>
    <w:multiLevelType w:val="hybridMultilevel"/>
    <w:tmpl w:val="A7DE7F7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2E4B5C"/>
    <w:multiLevelType w:val="hybridMultilevel"/>
    <w:tmpl w:val="FFD07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21E7D"/>
    <w:multiLevelType w:val="hybridMultilevel"/>
    <w:tmpl w:val="2D10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04F1D"/>
    <w:multiLevelType w:val="hybridMultilevel"/>
    <w:tmpl w:val="4B2058EA"/>
    <w:lvl w:ilvl="0" w:tplc="0409000F">
      <w:start w:val="1"/>
      <w:numFmt w:val="decimal"/>
      <w:lvlText w:val="%1."/>
      <w:lvlJc w:val="left"/>
      <w:pPr>
        <w:ind w:left="630" w:hanging="360"/>
      </w:pPr>
    </w:lvl>
    <w:lvl w:ilvl="1" w:tplc="965E27B8">
      <w:start w:val="1"/>
      <w:numFmt w:val="upperLetter"/>
      <w:lvlText w:val="%2."/>
      <w:lvlJc w:val="left"/>
      <w:pPr>
        <w:ind w:left="1440" w:hanging="360"/>
      </w:pPr>
      <w:rPr>
        <w:rFonts w:ascii="Arial" w:eastAsia="Times New Roman" w:hAnsi="Arial" w:cs="Arial"/>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C1126"/>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06468F"/>
    <w:multiLevelType w:val="hybridMultilevel"/>
    <w:tmpl w:val="5D167272"/>
    <w:lvl w:ilvl="0" w:tplc="0409000F">
      <w:start w:val="1"/>
      <w:numFmt w:val="decimal"/>
      <w:lvlText w:val="%1."/>
      <w:lvlJc w:val="left"/>
      <w:pPr>
        <w:ind w:left="630" w:hanging="360"/>
      </w:pPr>
    </w:lvl>
    <w:lvl w:ilvl="1" w:tplc="3C7CE5D0">
      <w:start w:val="1"/>
      <w:numFmt w:val="upperLetter"/>
      <w:lvlText w:val="%2."/>
      <w:lvlJc w:val="left"/>
      <w:pPr>
        <w:ind w:left="1440" w:hanging="360"/>
      </w:pPr>
      <w:rPr>
        <w:rFonts w:ascii="Arial" w:eastAsia="Times New Roman" w:hAnsi="Arial" w:cs="Arial"/>
      </w:rPr>
    </w:lvl>
    <w:lvl w:ilvl="2" w:tplc="EFCC01E2">
      <w:start w:val="1"/>
      <w:numFmt w:val="decimal"/>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72736"/>
    <w:multiLevelType w:val="hybridMultilevel"/>
    <w:tmpl w:val="4380104E"/>
    <w:lvl w:ilvl="0" w:tplc="44F00DFA">
      <w:start w:val="1"/>
      <w:numFmt w:val="bullet"/>
      <w:pStyle w:val="LRWLBodyTextBullet1"/>
      <w:lvlText w:val="n"/>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DA654B"/>
    <w:multiLevelType w:val="hybridMultilevel"/>
    <w:tmpl w:val="B89A8F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15" w15:restartNumberingAfterBreak="0">
    <w:nsid w:val="1CC27EFF"/>
    <w:multiLevelType w:val="hybridMultilevel"/>
    <w:tmpl w:val="DEEE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D12651"/>
    <w:multiLevelType w:val="hybridMultilevel"/>
    <w:tmpl w:val="A7DE7F7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E939C1"/>
    <w:multiLevelType w:val="hybridMultilevel"/>
    <w:tmpl w:val="BAC0C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F27178"/>
    <w:multiLevelType w:val="hybridMultilevel"/>
    <w:tmpl w:val="658E86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53988866">
      <w:start w:val="1"/>
      <w:numFmt w:val="decimal"/>
      <w:lvlText w:val="%3."/>
      <w:lvlJc w:val="right"/>
      <w:pPr>
        <w:ind w:left="2520" w:hanging="180"/>
      </w:pPr>
      <w:rPr>
        <w:rFonts w:ascii="Arial" w:eastAsia="Times New Roman"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A778D5"/>
    <w:multiLevelType w:val="hybridMultilevel"/>
    <w:tmpl w:val="07E67B60"/>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2A301C"/>
    <w:multiLevelType w:val="hybridMultilevel"/>
    <w:tmpl w:val="8B70B0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07F6663"/>
    <w:multiLevelType w:val="hybridMultilevel"/>
    <w:tmpl w:val="750E2DA6"/>
    <w:lvl w:ilvl="0" w:tplc="0409000F">
      <w:start w:val="1"/>
      <w:numFmt w:val="decimal"/>
      <w:lvlText w:val="%1."/>
      <w:lvlJc w:val="left"/>
      <w:pPr>
        <w:ind w:left="630" w:hanging="360"/>
      </w:pPr>
    </w:lvl>
    <w:lvl w:ilvl="1" w:tplc="3C7CE5D0">
      <w:start w:val="1"/>
      <w:numFmt w:val="upperLetter"/>
      <w:lvlText w:val="%2."/>
      <w:lvlJc w:val="left"/>
      <w:pPr>
        <w:ind w:left="1440" w:hanging="360"/>
      </w:pPr>
      <w:rPr>
        <w:rFonts w:ascii="Arial" w:eastAsia="Times New Roman" w:hAnsi="Arial" w:cs="Arial"/>
      </w:rPr>
    </w:lvl>
    <w:lvl w:ilvl="2" w:tplc="72BCF200">
      <w:start w:val="1"/>
      <w:numFmt w:val="decimal"/>
      <w:lvlText w:val="%3."/>
      <w:lvlJc w:val="left"/>
      <w:pPr>
        <w:ind w:left="2160" w:hanging="180"/>
      </w:pPr>
      <w:rPr>
        <w:rFonts w:ascii="Arial" w:hAnsi="Arial" w:hint="default"/>
        <w:b w:val="0"/>
        <w:i w:val="0"/>
        <w:caps w:val="0"/>
        <w:strike w:val="0"/>
        <w:dstrike w:val="0"/>
        <w:vanish w:val="0"/>
        <w:color w:val="000000"/>
        <w:sz w:val="22"/>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B63052"/>
    <w:multiLevelType w:val="hybridMultilevel"/>
    <w:tmpl w:val="B4E65860"/>
    <w:lvl w:ilvl="0" w:tplc="0409000F">
      <w:start w:val="1"/>
      <w:numFmt w:val="decimal"/>
      <w:lvlText w:val="%1."/>
      <w:lvlJc w:val="left"/>
      <w:pPr>
        <w:ind w:left="630" w:hanging="360"/>
      </w:pPr>
    </w:lvl>
    <w:lvl w:ilvl="1" w:tplc="3C7CE5D0">
      <w:start w:val="1"/>
      <w:numFmt w:val="upperLetter"/>
      <w:lvlText w:val="%2."/>
      <w:lvlJc w:val="left"/>
      <w:pPr>
        <w:ind w:left="1440" w:hanging="360"/>
      </w:pPr>
      <w:rPr>
        <w:rFonts w:ascii="Arial" w:eastAsia="Times New Roman" w:hAnsi="Arial" w:cs="Arial"/>
      </w:rPr>
    </w:lvl>
    <w:lvl w:ilvl="2" w:tplc="BB4E3B2A">
      <w:start w:val="1"/>
      <w:numFmt w:val="decimal"/>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9D2B6E"/>
    <w:multiLevelType w:val="hybridMultilevel"/>
    <w:tmpl w:val="B8CE2526"/>
    <w:lvl w:ilvl="0" w:tplc="72BCF200">
      <w:start w:val="1"/>
      <w:numFmt w:val="decimal"/>
      <w:lvlText w:val="%1."/>
      <w:lvlJc w:val="left"/>
      <w:pPr>
        <w:ind w:left="720" w:hanging="360"/>
      </w:pPr>
      <w:rPr>
        <w:rFonts w:ascii="Arial" w:hAnsi="Arial" w:hint="default"/>
        <w:b w:val="0"/>
        <w:i w:val="0"/>
        <w:caps w:val="0"/>
        <w:strike w:val="0"/>
        <w:dstrike w:val="0"/>
        <w:vanish w:val="0"/>
        <w:color w:val="0000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215C62"/>
    <w:multiLevelType w:val="hybridMultilevel"/>
    <w:tmpl w:val="A5565598"/>
    <w:lvl w:ilvl="0" w:tplc="7468509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C531DE1"/>
    <w:multiLevelType w:val="hybridMultilevel"/>
    <w:tmpl w:val="6A7457AA"/>
    <w:lvl w:ilvl="0" w:tplc="DEBC79D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537C9C"/>
    <w:multiLevelType w:val="hybridMultilevel"/>
    <w:tmpl w:val="4746AE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E14664C"/>
    <w:multiLevelType w:val="hybridMultilevel"/>
    <w:tmpl w:val="2656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493ADE"/>
    <w:multiLevelType w:val="hybridMultilevel"/>
    <w:tmpl w:val="5ADC0A6A"/>
    <w:lvl w:ilvl="0" w:tplc="2C10EB16">
      <w:start w:val="1"/>
      <w:numFmt w:val="decimal"/>
      <w:lvlText w:val="%1."/>
      <w:lvlJc w:val="left"/>
      <w:pPr>
        <w:ind w:left="720" w:hanging="360"/>
      </w:pPr>
      <w:rPr>
        <w:rFonts w:cs="Arial"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056F25"/>
    <w:multiLevelType w:val="hybridMultilevel"/>
    <w:tmpl w:val="6BFE59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387F7F"/>
    <w:multiLevelType w:val="hybridMultilevel"/>
    <w:tmpl w:val="B60212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13F0B72"/>
    <w:multiLevelType w:val="hybridMultilevel"/>
    <w:tmpl w:val="6FF811F2"/>
    <w:lvl w:ilvl="0" w:tplc="0409000F">
      <w:start w:val="1"/>
      <w:numFmt w:val="decimal"/>
      <w:lvlText w:val="%1."/>
      <w:lvlJc w:val="left"/>
      <w:pPr>
        <w:ind w:left="630" w:hanging="360"/>
      </w:pPr>
    </w:lvl>
    <w:lvl w:ilvl="1" w:tplc="3C7CE5D0">
      <w:start w:val="1"/>
      <w:numFmt w:val="upperLetter"/>
      <w:lvlText w:val="%2."/>
      <w:lvlJc w:val="left"/>
      <w:pPr>
        <w:ind w:left="1440" w:hanging="360"/>
      </w:pPr>
      <w:rPr>
        <w:rFonts w:ascii="Arial" w:eastAsia="Times New Roman" w:hAnsi="Arial" w:cs="Arial"/>
      </w:rPr>
    </w:lvl>
    <w:lvl w:ilvl="2" w:tplc="72BCF200">
      <w:start w:val="1"/>
      <w:numFmt w:val="decimal"/>
      <w:lvlText w:val="%3."/>
      <w:lvlJc w:val="left"/>
      <w:pPr>
        <w:ind w:left="2160" w:hanging="180"/>
      </w:pPr>
      <w:rPr>
        <w:rFonts w:ascii="Arial" w:hAnsi="Arial" w:hint="default"/>
        <w:b w:val="0"/>
        <w:i w:val="0"/>
        <w:caps w:val="0"/>
        <w:strike w:val="0"/>
        <w:dstrike w:val="0"/>
        <w:vanish w:val="0"/>
        <w:color w:val="000000"/>
        <w:sz w:val="22"/>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E41C7F"/>
    <w:multiLevelType w:val="hybridMultilevel"/>
    <w:tmpl w:val="B4744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ED367D"/>
    <w:multiLevelType w:val="hybridMultilevel"/>
    <w:tmpl w:val="9BCAF9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7D934F2"/>
    <w:multiLevelType w:val="hybridMultilevel"/>
    <w:tmpl w:val="98BA97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B533195"/>
    <w:multiLevelType w:val="hybridMultilevel"/>
    <w:tmpl w:val="69A2F986"/>
    <w:lvl w:ilvl="0" w:tplc="2084ED62">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982E94"/>
    <w:multiLevelType w:val="hybridMultilevel"/>
    <w:tmpl w:val="665C51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0AB1CED"/>
    <w:multiLevelType w:val="hybridMultilevel"/>
    <w:tmpl w:val="B0122BB0"/>
    <w:lvl w:ilvl="0" w:tplc="7DB6101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2D6B8F"/>
    <w:multiLevelType w:val="multilevel"/>
    <w:tmpl w:val="17CEA32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926"/>
        </w:tabs>
        <w:ind w:left="192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2610"/>
        </w:tabs>
        <w:ind w:left="261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A572D25"/>
    <w:multiLevelType w:val="hybridMultilevel"/>
    <w:tmpl w:val="DA06C106"/>
    <w:lvl w:ilvl="0" w:tplc="924C1A10">
      <w:start w:val="1"/>
      <w:numFmt w:val="decimal"/>
      <w:lvlText w:val="%1."/>
      <w:lvlJc w:val="left"/>
      <w:pPr>
        <w:tabs>
          <w:tab w:val="num" w:pos="720"/>
        </w:tabs>
        <w:ind w:left="720" w:hanging="360"/>
      </w:pPr>
      <w:rPr>
        <w:rFonts w:hint="default"/>
        <w:color w:val="auto"/>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4B5407F9"/>
    <w:multiLevelType w:val="hybridMultilevel"/>
    <w:tmpl w:val="3464272C"/>
    <w:lvl w:ilvl="0" w:tplc="04090005">
      <w:start w:val="1"/>
      <w:numFmt w:val="bullet"/>
      <w:lvlText w:val=""/>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D5E433C"/>
    <w:multiLevelType w:val="hybridMultilevel"/>
    <w:tmpl w:val="40E620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E4E4D63"/>
    <w:multiLevelType w:val="hybridMultilevel"/>
    <w:tmpl w:val="487C4D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F471A19"/>
    <w:multiLevelType w:val="hybridMultilevel"/>
    <w:tmpl w:val="1A5A3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C9101B"/>
    <w:multiLevelType w:val="hybridMultilevel"/>
    <w:tmpl w:val="61020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771E91"/>
    <w:multiLevelType w:val="hybridMultilevel"/>
    <w:tmpl w:val="6F60573A"/>
    <w:lvl w:ilvl="0" w:tplc="D5F6F26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B87C23D2">
      <w:start w:val="1"/>
      <w:numFmt w:val="decimal"/>
      <w:lvlText w:val="%3."/>
      <w:lvlJc w:val="right"/>
      <w:pPr>
        <w:ind w:left="3960" w:hanging="180"/>
      </w:pPr>
      <w:rPr>
        <w:rFonts w:ascii="Arial" w:eastAsia="Times New Roman" w:hAnsi="Arial" w:cs="Arial"/>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510C77A2"/>
    <w:multiLevelType w:val="multilevel"/>
    <w:tmpl w:val="791E07A4"/>
    <w:lvl w:ilvl="0">
      <w:start w:val="1"/>
      <w:numFmt w:val="upperLetter"/>
      <w:pStyle w:val="PBMRFPSectionStyle"/>
      <w:lvlText w:val="SECTION %1."/>
      <w:lvlJc w:val="left"/>
      <w:pPr>
        <w:tabs>
          <w:tab w:val="num" w:pos="5040"/>
        </w:tabs>
        <w:ind w:left="5040" w:hanging="21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BMRFPPartStyle"/>
      <w:lvlText w:val="Part %2.0"/>
      <w:lvlJc w:val="left"/>
      <w:pPr>
        <w:tabs>
          <w:tab w:val="num" w:pos="3870"/>
        </w:tabs>
        <w:ind w:left="3870" w:hanging="108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BMRFPQuestionStyle"/>
      <w:lvlText w:val="%2.%3"/>
      <w:lvlJc w:val="left"/>
      <w:pPr>
        <w:tabs>
          <w:tab w:val="num" w:pos="3683"/>
        </w:tabs>
        <w:ind w:left="3683" w:hanging="533"/>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BMRFPSubQuestionStyle"/>
      <w:lvlText w:val="%4."/>
      <w:lvlJc w:val="left"/>
      <w:pPr>
        <w:tabs>
          <w:tab w:val="num" w:pos="3600"/>
        </w:tabs>
        <w:ind w:left="360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BMRFPiiiStyle"/>
      <w:lvlText w:val="%5."/>
      <w:lvlJc w:val="left"/>
      <w:pPr>
        <w:tabs>
          <w:tab w:val="num" w:pos="1710"/>
        </w:tabs>
        <w:ind w:left="1710" w:hanging="360"/>
      </w:pPr>
      <w:rPr>
        <w:rFonts w:ascii="Arial" w:eastAsia="Times New Roman"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50" w15:restartNumberingAfterBreak="0">
    <w:nsid w:val="54DE152D"/>
    <w:multiLevelType w:val="hybridMultilevel"/>
    <w:tmpl w:val="34E22F56"/>
    <w:lvl w:ilvl="0" w:tplc="DEBC79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1E1CD1"/>
    <w:multiLevelType w:val="hybridMultilevel"/>
    <w:tmpl w:val="AD44A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8C2FF7"/>
    <w:multiLevelType w:val="hybridMultilevel"/>
    <w:tmpl w:val="F8A67CC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67E70B4"/>
    <w:multiLevelType w:val="hybridMultilevel"/>
    <w:tmpl w:val="F558B54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57581E6F"/>
    <w:multiLevelType w:val="hybridMultilevel"/>
    <w:tmpl w:val="B49448EC"/>
    <w:lvl w:ilvl="0" w:tplc="72BCF200">
      <w:start w:val="1"/>
      <w:numFmt w:val="decimal"/>
      <w:lvlText w:val="%1."/>
      <w:lvlJc w:val="left"/>
      <w:pPr>
        <w:ind w:left="1062" w:hanging="360"/>
      </w:pPr>
      <w:rPr>
        <w:rFonts w:ascii="Arial" w:hAnsi="Arial" w:hint="default"/>
        <w:b w:val="0"/>
        <w:i w:val="0"/>
        <w:caps w:val="0"/>
        <w:strike w:val="0"/>
        <w:dstrike w:val="0"/>
        <w:vanish w:val="0"/>
        <w:color w:val="000000"/>
        <w:sz w:val="22"/>
        <w:vertAlign w:val="baseline"/>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5" w15:restartNumberingAfterBreak="0">
    <w:nsid w:val="5A054939"/>
    <w:multiLevelType w:val="hybridMultilevel"/>
    <w:tmpl w:val="636CC17A"/>
    <w:lvl w:ilvl="0" w:tplc="E2A8E6BC">
      <w:start w:val="1"/>
      <w:numFmt w:val="decimal"/>
      <w:lvlText w:val="%1."/>
      <w:lvlJc w:val="left"/>
      <w:pPr>
        <w:ind w:left="360" w:hanging="360"/>
      </w:pPr>
      <w:rPr>
        <w:rFonts w:hint="default"/>
        <w:b w:val="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2072FF76">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A820950"/>
    <w:multiLevelType w:val="hybridMultilevel"/>
    <w:tmpl w:val="C3529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FB2856"/>
    <w:multiLevelType w:val="hybridMultilevel"/>
    <w:tmpl w:val="62A4B47E"/>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132528"/>
    <w:multiLevelType w:val="hybridMultilevel"/>
    <w:tmpl w:val="5F081BA4"/>
    <w:lvl w:ilvl="0" w:tplc="72BCF200">
      <w:start w:val="1"/>
      <w:numFmt w:val="decimal"/>
      <w:lvlText w:val="%1."/>
      <w:lvlJc w:val="left"/>
      <w:pPr>
        <w:ind w:left="1422" w:hanging="360"/>
      </w:pPr>
      <w:rPr>
        <w:rFonts w:ascii="Arial" w:hAnsi="Arial" w:hint="default"/>
        <w:b w:val="0"/>
        <w:i w:val="0"/>
        <w:caps w:val="0"/>
        <w:strike w:val="0"/>
        <w:dstrike w:val="0"/>
        <w:vanish w:val="0"/>
        <w:color w:val="000000"/>
        <w:sz w:val="22"/>
        <w:vertAlign w:val="baseline"/>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59" w15:restartNumberingAfterBreak="0">
    <w:nsid w:val="64A27917"/>
    <w:multiLevelType w:val="hybridMultilevel"/>
    <w:tmpl w:val="FFD0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E25081"/>
    <w:multiLevelType w:val="hybridMultilevel"/>
    <w:tmpl w:val="5C06A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7A268F"/>
    <w:multiLevelType w:val="hybridMultilevel"/>
    <w:tmpl w:val="3198E17E"/>
    <w:lvl w:ilvl="0" w:tplc="0409000F">
      <w:start w:val="1"/>
      <w:numFmt w:val="decimal"/>
      <w:lvlText w:val="%1."/>
      <w:lvlJc w:val="left"/>
      <w:pPr>
        <w:ind w:left="630" w:hanging="360"/>
      </w:pPr>
    </w:lvl>
    <w:lvl w:ilvl="1" w:tplc="573618F4">
      <w:start w:val="1"/>
      <w:numFmt w:val="upperLetter"/>
      <w:lvlText w:val="%2."/>
      <w:lvlJc w:val="left"/>
      <w:pPr>
        <w:ind w:left="1440" w:hanging="360"/>
      </w:pPr>
      <w:rPr>
        <w:rFonts w:ascii="Arial" w:eastAsia="Times New Roman" w:hAnsi="Arial" w:cs="Arial"/>
        <w:sz w:val="22"/>
        <w:szCs w:val="22"/>
      </w:rPr>
    </w:lvl>
    <w:lvl w:ilvl="2" w:tplc="7F8484CE">
      <w:start w:val="1"/>
      <w:numFmt w:val="decimal"/>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AF6A06"/>
    <w:multiLevelType w:val="hybridMultilevel"/>
    <w:tmpl w:val="546C4596"/>
    <w:lvl w:ilvl="0" w:tplc="CC568A7C">
      <w:start w:val="1"/>
      <w:numFmt w:val="decimal"/>
      <w:pStyle w:val="Normal1Numbered"/>
      <w:lvlText w:val="%1."/>
      <w:lvlJc w:val="left"/>
      <w:pPr>
        <w:tabs>
          <w:tab w:val="num" w:pos="360"/>
        </w:tabs>
        <w:ind w:left="360" w:hanging="360"/>
      </w:pPr>
      <w:rPr>
        <w:rFonts w:hint="default"/>
        <w:b/>
        <w:i w:val="0"/>
        <w:color w:val="8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7B60169"/>
    <w:multiLevelType w:val="hybridMultilevel"/>
    <w:tmpl w:val="950EAA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A685310"/>
    <w:multiLevelType w:val="hybridMultilevel"/>
    <w:tmpl w:val="0DCEF720"/>
    <w:lvl w:ilvl="0" w:tplc="EA3211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5" w15:restartNumberingAfterBreak="0">
    <w:nsid w:val="6C303EDB"/>
    <w:multiLevelType w:val="hybridMultilevel"/>
    <w:tmpl w:val="14B6F176"/>
    <w:lvl w:ilvl="0" w:tplc="04090005">
      <w:start w:val="1"/>
      <w:numFmt w:val="bullet"/>
      <w:lvlText w:val=""/>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6D965FEF"/>
    <w:multiLevelType w:val="hybridMultilevel"/>
    <w:tmpl w:val="CE205FA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0AF4719"/>
    <w:multiLevelType w:val="hybridMultilevel"/>
    <w:tmpl w:val="7B12DB02"/>
    <w:lvl w:ilvl="0" w:tplc="0409000F">
      <w:start w:val="1"/>
      <w:numFmt w:val="decimal"/>
      <w:lvlText w:val="%1."/>
      <w:lvlJc w:val="left"/>
      <w:pPr>
        <w:ind w:left="720" w:hanging="360"/>
      </w:pPr>
      <w:rPr>
        <w:rFonts w:hint="default"/>
        <w:b w:val="0"/>
        <w:i w:val="0"/>
        <w:caps w:val="0"/>
        <w:strike w:val="0"/>
        <w:dstrike w:val="0"/>
        <w:vanish w:val="0"/>
        <w:color w:val="0000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1901E9"/>
    <w:multiLevelType w:val="hybridMultilevel"/>
    <w:tmpl w:val="37CAA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3504A5"/>
    <w:multiLevelType w:val="hybridMultilevel"/>
    <w:tmpl w:val="EB8AD53E"/>
    <w:lvl w:ilvl="0" w:tplc="0ABA02F0">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62"/>
  </w:num>
  <w:num w:numId="3">
    <w:abstractNumId w:val="41"/>
  </w:num>
  <w:num w:numId="4">
    <w:abstractNumId w:val="12"/>
  </w:num>
  <w:num w:numId="5">
    <w:abstractNumId w:val="40"/>
  </w:num>
  <w:num w:numId="6">
    <w:abstractNumId w:val="39"/>
  </w:num>
  <w:num w:numId="7">
    <w:abstractNumId w:val="14"/>
  </w:num>
  <w:num w:numId="8">
    <w:abstractNumId w:val="57"/>
  </w:num>
  <w:num w:numId="9">
    <w:abstractNumId w:val="49"/>
  </w:num>
  <w:num w:numId="10">
    <w:abstractNumId w:val="33"/>
  </w:num>
  <w:num w:numId="11">
    <w:abstractNumId w:val="30"/>
  </w:num>
  <w:num w:numId="12">
    <w:abstractNumId w:val="13"/>
  </w:num>
  <w:num w:numId="13">
    <w:abstractNumId w:val="55"/>
  </w:num>
  <w:num w:numId="14">
    <w:abstractNumId w:val="4"/>
  </w:num>
  <w:num w:numId="15">
    <w:abstractNumId w:val="19"/>
  </w:num>
  <w:num w:numId="16">
    <w:abstractNumId w:val="1"/>
  </w:num>
  <w:num w:numId="17">
    <w:abstractNumId w:val="10"/>
  </w:num>
  <w:num w:numId="18">
    <w:abstractNumId w:val="66"/>
  </w:num>
  <w:num w:numId="19">
    <w:abstractNumId w:val="34"/>
  </w:num>
  <w:num w:numId="20">
    <w:abstractNumId w:val="3"/>
  </w:num>
  <w:num w:numId="21">
    <w:abstractNumId w:val="6"/>
  </w:num>
  <w:num w:numId="22">
    <w:abstractNumId w:val="45"/>
  </w:num>
  <w:num w:numId="23">
    <w:abstractNumId w:val="5"/>
  </w:num>
  <w:num w:numId="24">
    <w:abstractNumId w:val="31"/>
  </w:num>
  <w:num w:numId="25">
    <w:abstractNumId w:val="44"/>
  </w:num>
  <w:num w:numId="26">
    <w:abstractNumId w:val="63"/>
  </w:num>
  <w:num w:numId="27">
    <w:abstractNumId w:val="2"/>
  </w:num>
  <w:num w:numId="28">
    <w:abstractNumId w:val="0"/>
  </w:num>
  <w:num w:numId="29">
    <w:abstractNumId w:val="37"/>
  </w:num>
  <w:num w:numId="30">
    <w:abstractNumId w:val="59"/>
  </w:num>
  <w:num w:numId="31">
    <w:abstractNumId w:val="15"/>
  </w:num>
  <w:num w:numId="32">
    <w:abstractNumId w:val="50"/>
  </w:num>
  <w:num w:numId="33">
    <w:abstractNumId w:val="25"/>
  </w:num>
  <w:num w:numId="34">
    <w:abstractNumId w:val="68"/>
  </w:num>
  <w:num w:numId="35">
    <w:abstractNumId w:val="51"/>
  </w:num>
  <w:num w:numId="36">
    <w:abstractNumId w:val="64"/>
  </w:num>
  <w:num w:numId="37">
    <w:abstractNumId w:val="29"/>
  </w:num>
  <w:num w:numId="38">
    <w:abstractNumId w:val="28"/>
  </w:num>
  <w:num w:numId="39">
    <w:abstractNumId w:val="46"/>
  </w:num>
  <w:num w:numId="40">
    <w:abstractNumId w:val="20"/>
  </w:num>
  <w:num w:numId="41">
    <w:abstractNumId w:val="8"/>
  </w:num>
  <w:num w:numId="42">
    <w:abstractNumId w:val="27"/>
  </w:num>
  <w:num w:numId="43">
    <w:abstractNumId w:val="60"/>
  </w:num>
  <w:num w:numId="44">
    <w:abstractNumId w:val="47"/>
  </w:num>
  <w:num w:numId="45">
    <w:abstractNumId w:val="16"/>
  </w:num>
  <w:num w:numId="46">
    <w:abstractNumId w:val="36"/>
  </w:num>
  <w:num w:numId="47">
    <w:abstractNumId w:val="7"/>
  </w:num>
  <w:num w:numId="48">
    <w:abstractNumId w:val="52"/>
  </w:num>
  <w:num w:numId="49">
    <w:abstractNumId w:val="65"/>
  </w:num>
  <w:num w:numId="50">
    <w:abstractNumId w:val="43"/>
  </w:num>
  <w:num w:numId="51">
    <w:abstractNumId w:val="35"/>
  </w:num>
  <w:num w:numId="52">
    <w:abstractNumId w:val="56"/>
  </w:num>
  <w:num w:numId="53">
    <w:abstractNumId w:val="42"/>
  </w:num>
  <w:num w:numId="54">
    <w:abstractNumId w:val="22"/>
  </w:num>
  <w:num w:numId="55">
    <w:abstractNumId w:val="18"/>
  </w:num>
  <w:num w:numId="56">
    <w:abstractNumId w:val="9"/>
  </w:num>
  <w:num w:numId="57">
    <w:abstractNumId w:val="11"/>
  </w:num>
  <w:num w:numId="58">
    <w:abstractNumId w:val="61"/>
  </w:num>
  <w:num w:numId="59">
    <w:abstractNumId w:val="48"/>
  </w:num>
  <w:num w:numId="60">
    <w:abstractNumId w:val="54"/>
  </w:num>
  <w:num w:numId="61">
    <w:abstractNumId w:val="58"/>
  </w:num>
  <w:num w:numId="62">
    <w:abstractNumId w:val="32"/>
  </w:num>
  <w:num w:numId="63">
    <w:abstractNumId w:val="21"/>
  </w:num>
  <w:num w:numId="64">
    <w:abstractNumId w:val="69"/>
  </w:num>
  <w:num w:numId="65">
    <w:abstractNumId w:val="23"/>
  </w:num>
  <w:num w:numId="66">
    <w:abstractNumId w:val="67"/>
  </w:num>
  <w:num w:numId="67">
    <w:abstractNumId w:val="17"/>
  </w:num>
  <w:num w:numId="68">
    <w:abstractNumId w:val="38"/>
  </w:num>
  <w:num w:numId="69">
    <w:abstractNumId w:val="53"/>
  </w:num>
  <w:num w:numId="70">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9D"/>
    <w:rsid w:val="000011BD"/>
    <w:rsid w:val="0000131F"/>
    <w:rsid w:val="000026B1"/>
    <w:rsid w:val="00002727"/>
    <w:rsid w:val="0000423B"/>
    <w:rsid w:val="00004595"/>
    <w:rsid w:val="00006F15"/>
    <w:rsid w:val="00007F0F"/>
    <w:rsid w:val="00007F33"/>
    <w:rsid w:val="000100A8"/>
    <w:rsid w:val="0001162B"/>
    <w:rsid w:val="00011B6C"/>
    <w:rsid w:val="00011E0C"/>
    <w:rsid w:val="00011EDC"/>
    <w:rsid w:val="00011F15"/>
    <w:rsid w:val="00012A0B"/>
    <w:rsid w:val="00012B29"/>
    <w:rsid w:val="00013114"/>
    <w:rsid w:val="00013912"/>
    <w:rsid w:val="00014C25"/>
    <w:rsid w:val="00014F53"/>
    <w:rsid w:val="000150BD"/>
    <w:rsid w:val="00015137"/>
    <w:rsid w:val="00016BC3"/>
    <w:rsid w:val="000174F9"/>
    <w:rsid w:val="0001765F"/>
    <w:rsid w:val="00017AB6"/>
    <w:rsid w:val="000210CA"/>
    <w:rsid w:val="000212DC"/>
    <w:rsid w:val="0002188E"/>
    <w:rsid w:val="000223E4"/>
    <w:rsid w:val="00022932"/>
    <w:rsid w:val="00022B2D"/>
    <w:rsid w:val="00023487"/>
    <w:rsid w:val="00023C8B"/>
    <w:rsid w:val="000245BA"/>
    <w:rsid w:val="000253A3"/>
    <w:rsid w:val="00025717"/>
    <w:rsid w:val="00026516"/>
    <w:rsid w:val="00027809"/>
    <w:rsid w:val="000278B4"/>
    <w:rsid w:val="00027C69"/>
    <w:rsid w:val="00030A18"/>
    <w:rsid w:val="000315CC"/>
    <w:rsid w:val="00031601"/>
    <w:rsid w:val="0003178F"/>
    <w:rsid w:val="00031C8C"/>
    <w:rsid w:val="00031DD5"/>
    <w:rsid w:val="0003381F"/>
    <w:rsid w:val="00034901"/>
    <w:rsid w:val="00035137"/>
    <w:rsid w:val="00036812"/>
    <w:rsid w:val="00036EE5"/>
    <w:rsid w:val="0003721F"/>
    <w:rsid w:val="0003726D"/>
    <w:rsid w:val="00040653"/>
    <w:rsid w:val="000426A9"/>
    <w:rsid w:val="00042789"/>
    <w:rsid w:val="000434B5"/>
    <w:rsid w:val="00043EB8"/>
    <w:rsid w:val="000443D9"/>
    <w:rsid w:val="00044A19"/>
    <w:rsid w:val="000458E9"/>
    <w:rsid w:val="000476A5"/>
    <w:rsid w:val="00047A16"/>
    <w:rsid w:val="000509B3"/>
    <w:rsid w:val="000510B9"/>
    <w:rsid w:val="0005128D"/>
    <w:rsid w:val="00051F13"/>
    <w:rsid w:val="00052489"/>
    <w:rsid w:val="00052917"/>
    <w:rsid w:val="000540A1"/>
    <w:rsid w:val="00054E3A"/>
    <w:rsid w:val="00055161"/>
    <w:rsid w:val="00056C1E"/>
    <w:rsid w:val="00056FFA"/>
    <w:rsid w:val="000571F2"/>
    <w:rsid w:val="00062192"/>
    <w:rsid w:val="0006489A"/>
    <w:rsid w:val="00066205"/>
    <w:rsid w:val="00067CB4"/>
    <w:rsid w:val="00070FE1"/>
    <w:rsid w:val="00071519"/>
    <w:rsid w:val="000725EA"/>
    <w:rsid w:val="000735F2"/>
    <w:rsid w:val="00073EFC"/>
    <w:rsid w:val="00075ED0"/>
    <w:rsid w:val="00080DE2"/>
    <w:rsid w:val="00082101"/>
    <w:rsid w:val="00082122"/>
    <w:rsid w:val="00082528"/>
    <w:rsid w:val="000829DF"/>
    <w:rsid w:val="00083814"/>
    <w:rsid w:val="00083C46"/>
    <w:rsid w:val="00083DEB"/>
    <w:rsid w:val="00084821"/>
    <w:rsid w:val="00085C83"/>
    <w:rsid w:val="0008680B"/>
    <w:rsid w:val="00087A3D"/>
    <w:rsid w:val="00087DB1"/>
    <w:rsid w:val="00090AD3"/>
    <w:rsid w:val="00091C3A"/>
    <w:rsid w:val="00092049"/>
    <w:rsid w:val="000921AF"/>
    <w:rsid w:val="000925FB"/>
    <w:rsid w:val="00092C48"/>
    <w:rsid w:val="00094254"/>
    <w:rsid w:val="0009434D"/>
    <w:rsid w:val="00094B8C"/>
    <w:rsid w:val="00094DD2"/>
    <w:rsid w:val="0009582E"/>
    <w:rsid w:val="00095F0C"/>
    <w:rsid w:val="000963B7"/>
    <w:rsid w:val="00097A0B"/>
    <w:rsid w:val="000A0330"/>
    <w:rsid w:val="000A1AFC"/>
    <w:rsid w:val="000A264E"/>
    <w:rsid w:val="000A2C92"/>
    <w:rsid w:val="000A4B1E"/>
    <w:rsid w:val="000A52A2"/>
    <w:rsid w:val="000A5D57"/>
    <w:rsid w:val="000A5DEA"/>
    <w:rsid w:val="000A6F08"/>
    <w:rsid w:val="000B01D6"/>
    <w:rsid w:val="000B2F00"/>
    <w:rsid w:val="000B3485"/>
    <w:rsid w:val="000B39AA"/>
    <w:rsid w:val="000B44FF"/>
    <w:rsid w:val="000B4644"/>
    <w:rsid w:val="000B5C72"/>
    <w:rsid w:val="000B6F8D"/>
    <w:rsid w:val="000C15A3"/>
    <w:rsid w:val="000C20A9"/>
    <w:rsid w:val="000C24C1"/>
    <w:rsid w:val="000C3D78"/>
    <w:rsid w:val="000C62C9"/>
    <w:rsid w:val="000D21C8"/>
    <w:rsid w:val="000D2A9E"/>
    <w:rsid w:val="000D3B6C"/>
    <w:rsid w:val="000D4E3C"/>
    <w:rsid w:val="000D6423"/>
    <w:rsid w:val="000D65AB"/>
    <w:rsid w:val="000D6DE0"/>
    <w:rsid w:val="000E3299"/>
    <w:rsid w:val="000E54CC"/>
    <w:rsid w:val="000E5556"/>
    <w:rsid w:val="000E5785"/>
    <w:rsid w:val="000E6118"/>
    <w:rsid w:val="000E640C"/>
    <w:rsid w:val="000E6883"/>
    <w:rsid w:val="000E6C6A"/>
    <w:rsid w:val="000E6E43"/>
    <w:rsid w:val="000E7070"/>
    <w:rsid w:val="000E7895"/>
    <w:rsid w:val="000E79FE"/>
    <w:rsid w:val="000F055F"/>
    <w:rsid w:val="000F0B07"/>
    <w:rsid w:val="000F22FB"/>
    <w:rsid w:val="000F481B"/>
    <w:rsid w:val="000F5158"/>
    <w:rsid w:val="000F542F"/>
    <w:rsid w:val="000F610D"/>
    <w:rsid w:val="000F6631"/>
    <w:rsid w:val="000F7318"/>
    <w:rsid w:val="00100520"/>
    <w:rsid w:val="001006A5"/>
    <w:rsid w:val="00100E6B"/>
    <w:rsid w:val="00100FF3"/>
    <w:rsid w:val="00101112"/>
    <w:rsid w:val="00102CCC"/>
    <w:rsid w:val="0010387C"/>
    <w:rsid w:val="00104A41"/>
    <w:rsid w:val="001052D5"/>
    <w:rsid w:val="001067A2"/>
    <w:rsid w:val="00106A5D"/>
    <w:rsid w:val="00107EBA"/>
    <w:rsid w:val="00110119"/>
    <w:rsid w:val="00110B79"/>
    <w:rsid w:val="001122A4"/>
    <w:rsid w:val="00113211"/>
    <w:rsid w:val="001132E2"/>
    <w:rsid w:val="00113A56"/>
    <w:rsid w:val="00113C03"/>
    <w:rsid w:val="00114826"/>
    <w:rsid w:val="00115DE7"/>
    <w:rsid w:val="00116C3A"/>
    <w:rsid w:val="001177A7"/>
    <w:rsid w:val="00120707"/>
    <w:rsid w:val="00120831"/>
    <w:rsid w:val="00120D94"/>
    <w:rsid w:val="00121208"/>
    <w:rsid w:val="001216DD"/>
    <w:rsid w:val="0012170B"/>
    <w:rsid w:val="001251A3"/>
    <w:rsid w:val="00125C07"/>
    <w:rsid w:val="00130220"/>
    <w:rsid w:val="00131939"/>
    <w:rsid w:val="00131BB8"/>
    <w:rsid w:val="00131DFE"/>
    <w:rsid w:val="00131EE5"/>
    <w:rsid w:val="0013300C"/>
    <w:rsid w:val="001335B9"/>
    <w:rsid w:val="001348C0"/>
    <w:rsid w:val="00135C03"/>
    <w:rsid w:val="0013705B"/>
    <w:rsid w:val="00140AAF"/>
    <w:rsid w:val="001415E2"/>
    <w:rsid w:val="001432C3"/>
    <w:rsid w:val="00143E55"/>
    <w:rsid w:val="00143FA1"/>
    <w:rsid w:val="00144435"/>
    <w:rsid w:val="001450F6"/>
    <w:rsid w:val="00145D7F"/>
    <w:rsid w:val="001476F4"/>
    <w:rsid w:val="00147B86"/>
    <w:rsid w:val="00150EF8"/>
    <w:rsid w:val="001510E2"/>
    <w:rsid w:val="00151FDF"/>
    <w:rsid w:val="00152122"/>
    <w:rsid w:val="00153AB7"/>
    <w:rsid w:val="00153DE9"/>
    <w:rsid w:val="001549CD"/>
    <w:rsid w:val="00155237"/>
    <w:rsid w:val="00155CBC"/>
    <w:rsid w:val="00155CEB"/>
    <w:rsid w:val="0016080C"/>
    <w:rsid w:val="00160D5D"/>
    <w:rsid w:val="00161628"/>
    <w:rsid w:val="00161843"/>
    <w:rsid w:val="00163FF5"/>
    <w:rsid w:val="0016592E"/>
    <w:rsid w:val="00166B6E"/>
    <w:rsid w:val="001678A7"/>
    <w:rsid w:val="00170679"/>
    <w:rsid w:val="001707EF"/>
    <w:rsid w:val="0017107E"/>
    <w:rsid w:val="001712C0"/>
    <w:rsid w:val="0017205A"/>
    <w:rsid w:val="001730B0"/>
    <w:rsid w:val="001740B7"/>
    <w:rsid w:val="00174130"/>
    <w:rsid w:val="001745BC"/>
    <w:rsid w:val="001753A0"/>
    <w:rsid w:val="001756DA"/>
    <w:rsid w:val="00175C18"/>
    <w:rsid w:val="001761CE"/>
    <w:rsid w:val="001769BE"/>
    <w:rsid w:val="001779D3"/>
    <w:rsid w:val="00177D2D"/>
    <w:rsid w:val="00177ED7"/>
    <w:rsid w:val="00180B8B"/>
    <w:rsid w:val="0018130C"/>
    <w:rsid w:val="001823A3"/>
    <w:rsid w:val="0018335A"/>
    <w:rsid w:val="001833B6"/>
    <w:rsid w:val="001838DA"/>
    <w:rsid w:val="0018395B"/>
    <w:rsid w:val="00184E5D"/>
    <w:rsid w:val="001865E9"/>
    <w:rsid w:val="00186884"/>
    <w:rsid w:val="00186D95"/>
    <w:rsid w:val="001912B5"/>
    <w:rsid w:val="00191DC7"/>
    <w:rsid w:val="0019304F"/>
    <w:rsid w:val="00194B81"/>
    <w:rsid w:val="00194ED1"/>
    <w:rsid w:val="001962EB"/>
    <w:rsid w:val="0019778D"/>
    <w:rsid w:val="001A0739"/>
    <w:rsid w:val="001A13F4"/>
    <w:rsid w:val="001A18E7"/>
    <w:rsid w:val="001A24FE"/>
    <w:rsid w:val="001A2573"/>
    <w:rsid w:val="001A340F"/>
    <w:rsid w:val="001A34AC"/>
    <w:rsid w:val="001A379B"/>
    <w:rsid w:val="001A40E6"/>
    <w:rsid w:val="001A49D5"/>
    <w:rsid w:val="001A5865"/>
    <w:rsid w:val="001A5B40"/>
    <w:rsid w:val="001A6D7F"/>
    <w:rsid w:val="001A6E9D"/>
    <w:rsid w:val="001A77A4"/>
    <w:rsid w:val="001B0596"/>
    <w:rsid w:val="001B0BDD"/>
    <w:rsid w:val="001B0D57"/>
    <w:rsid w:val="001B0F6F"/>
    <w:rsid w:val="001B13A2"/>
    <w:rsid w:val="001B13BF"/>
    <w:rsid w:val="001B20BB"/>
    <w:rsid w:val="001B2C49"/>
    <w:rsid w:val="001B341A"/>
    <w:rsid w:val="001B34B9"/>
    <w:rsid w:val="001B49CE"/>
    <w:rsid w:val="001B50D6"/>
    <w:rsid w:val="001B5285"/>
    <w:rsid w:val="001B6D16"/>
    <w:rsid w:val="001C04C9"/>
    <w:rsid w:val="001C0D54"/>
    <w:rsid w:val="001C2032"/>
    <w:rsid w:val="001C2117"/>
    <w:rsid w:val="001C2BAB"/>
    <w:rsid w:val="001C32C0"/>
    <w:rsid w:val="001C34AA"/>
    <w:rsid w:val="001C3ACE"/>
    <w:rsid w:val="001C6A42"/>
    <w:rsid w:val="001D0468"/>
    <w:rsid w:val="001D08BD"/>
    <w:rsid w:val="001D2ED1"/>
    <w:rsid w:val="001D30AD"/>
    <w:rsid w:val="001D39B5"/>
    <w:rsid w:val="001D3E62"/>
    <w:rsid w:val="001D4728"/>
    <w:rsid w:val="001D4F89"/>
    <w:rsid w:val="001D5856"/>
    <w:rsid w:val="001D6A26"/>
    <w:rsid w:val="001E06CF"/>
    <w:rsid w:val="001E0B7B"/>
    <w:rsid w:val="001E1E3A"/>
    <w:rsid w:val="001E2560"/>
    <w:rsid w:val="001E29E4"/>
    <w:rsid w:val="001E3814"/>
    <w:rsid w:val="001E45E3"/>
    <w:rsid w:val="001E4E32"/>
    <w:rsid w:val="001E4FA2"/>
    <w:rsid w:val="001E56F8"/>
    <w:rsid w:val="001E5AA9"/>
    <w:rsid w:val="001E656B"/>
    <w:rsid w:val="001E7B26"/>
    <w:rsid w:val="001E7D1E"/>
    <w:rsid w:val="001F006F"/>
    <w:rsid w:val="001F07B1"/>
    <w:rsid w:val="001F0977"/>
    <w:rsid w:val="001F1826"/>
    <w:rsid w:val="001F19E0"/>
    <w:rsid w:val="001F2CB6"/>
    <w:rsid w:val="001F3446"/>
    <w:rsid w:val="001F3733"/>
    <w:rsid w:val="001F4104"/>
    <w:rsid w:val="001F48A4"/>
    <w:rsid w:val="001F5137"/>
    <w:rsid w:val="001F5B4B"/>
    <w:rsid w:val="001F6742"/>
    <w:rsid w:val="001F6D49"/>
    <w:rsid w:val="002008FA"/>
    <w:rsid w:val="00200AB9"/>
    <w:rsid w:val="002018EA"/>
    <w:rsid w:val="00202045"/>
    <w:rsid w:val="00202959"/>
    <w:rsid w:val="0020329E"/>
    <w:rsid w:val="00203667"/>
    <w:rsid w:val="00203EF9"/>
    <w:rsid w:val="002054EB"/>
    <w:rsid w:val="002059C9"/>
    <w:rsid w:val="002062E3"/>
    <w:rsid w:val="00206797"/>
    <w:rsid w:val="00206C44"/>
    <w:rsid w:val="002072C2"/>
    <w:rsid w:val="0021048A"/>
    <w:rsid w:val="002115D6"/>
    <w:rsid w:val="002116B9"/>
    <w:rsid w:val="002117F2"/>
    <w:rsid w:val="00211E3A"/>
    <w:rsid w:val="0021218F"/>
    <w:rsid w:val="00212BCE"/>
    <w:rsid w:val="00212CFF"/>
    <w:rsid w:val="00212E41"/>
    <w:rsid w:val="00212F28"/>
    <w:rsid w:val="0021405B"/>
    <w:rsid w:val="00214B83"/>
    <w:rsid w:val="002157C2"/>
    <w:rsid w:val="0021689D"/>
    <w:rsid w:val="0021762E"/>
    <w:rsid w:val="00217C81"/>
    <w:rsid w:val="00220C04"/>
    <w:rsid w:val="00221B3B"/>
    <w:rsid w:val="002224CD"/>
    <w:rsid w:val="002227D1"/>
    <w:rsid w:val="002233F0"/>
    <w:rsid w:val="00224AB3"/>
    <w:rsid w:val="00225533"/>
    <w:rsid w:val="002258C0"/>
    <w:rsid w:val="002263E2"/>
    <w:rsid w:val="0023061F"/>
    <w:rsid w:val="002312FF"/>
    <w:rsid w:val="00231908"/>
    <w:rsid w:val="0023244D"/>
    <w:rsid w:val="0023281D"/>
    <w:rsid w:val="0023285A"/>
    <w:rsid w:val="00236DF3"/>
    <w:rsid w:val="00236F9E"/>
    <w:rsid w:val="002372B3"/>
    <w:rsid w:val="00237950"/>
    <w:rsid w:val="00240737"/>
    <w:rsid w:val="0024307B"/>
    <w:rsid w:val="002432BA"/>
    <w:rsid w:val="00243494"/>
    <w:rsid w:val="00243E85"/>
    <w:rsid w:val="00244005"/>
    <w:rsid w:val="0024590F"/>
    <w:rsid w:val="002464AE"/>
    <w:rsid w:val="002467CF"/>
    <w:rsid w:val="002474A9"/>
    <w:rsid w:val="00247556"/>
    <w:rsid w:val="00247A48"/>
    <w:rsid w:val="00247FF2"/>
    <w:rsid w:val="002505C8"/>
    <w:rsid w:val="00250711"/>
    <w:rsid w:val="00251F3B"/>
    <w:rsid w:val="00252DBA"/>
    <w:rsid w:val="0025313F"/>
    <w:rsid w:val="002540BD"/>
    <w:rsid w:val="00254BB9"/>
    <w:rsid w:val="0025506C"/>
    <w:rsid w:val="00255B0F"/>
    <w:rsid w:val="00256CCB"/>
    <w:rsid w:val="00256F89"/>
    <w:rsid w:val="002572B8"/>
    <w:rsid w:val="00263258"/>
    <w:rsid w:val="00263580"/>
    <w:rsid w:val="002639E1"/>
    <w:rsid w:val="00264C89"/>
    <w:rsid w:val="00264FA8"/>
    <w:rsid w:val="00264FD6"/>
    <w:rsid w:val="00265E05"/>
    <w:rsid w:val="00265E45"/>
    <w:rsid w:val="00266B3E"/>
    <w:rsid w:val="0026745E"/>
    <w:rsid w:val="00270C6F"/>
    <w:rsid w:val="00272BC7"/>
    <w:rsid w:val="00272CBD"/>
    <w:rsid w:val="00273653"/>
    <w:rsid w:val="00276273"/>
    <w:rsid w:val="00276459"/>
    <w:rsid w:val="00276655"/>
    <w:rsid w:val="00276941"/>
    <w:rsid w:val="00277558"/>
    <w:rsid w:val="00280DBC"/>
    <w:rsid w:val="002813CA"/>
    <w:rsid w:val="0028263F"/>
    <w:rsid w:val="00284C19"/>
    <w:rsid w:val="00284E05"/>
    <w:rsid w:val="00285FA0"/>
    <w:rsid w:val="00286F4C"/>
    <w:rsid w:val="00286F7C"/>
    <w:rsid w:val="0028725E"/>
    <w:rsid w:val="00290A03"/>
    <w:rsid w:val="002913DA"/>
    <w:rsid w:val="00292091"/>
    <w:rsid w:val="002934D5"/>
    <w:rsid w:val="002936C0"/>
    <w:rsid w:val="002939BB"/>
    <w:rsid w:val="00293D52"/>
    <w:rsid w:val="002947E5"/>
    <w:rsid w:val="00295736"/>
    <w:rsid w:val="002959CC"/>
    <w:rsid w:val="00296F2C"/>
    <w:rsid w:val="0029723D"/>
    <w:rsid w:val="002976AD"/>
    <w:rsid w:val="00297D62"/>
    <w:rsid w:val="00297E0C"/>
    <w:rsid w:val="002A1061"/>
    <w:rsid w:val="002A11A3"/>
    <w:rsid w:val="002A2108"/>
    <w:rsid w:val="002A24BB"/>
    <w:rsid w:val="002A2522"/>
    <w:rsid w:val="002A2ABA"/>
    <w:rsid w:val="002A3195"/>
    <w:rsid w:val="002A5A5B"/>
    <w:rsid w:val="002A60CE"/>
    <w:rsid w:val="002A670A"/>
    <w:rsid w:val="002B09CC"/>
    <w:rsid w:val="002B0A17"/>
    <w:rsid w:val="002B0E5E"/>
    <w:rsid w:val="002B134A"/>
    <w:rsid w:val="002B16FC"/>
    <w:rsid w:val="002B1AD7"/>
    <w:rsid w:val="002B4746"/>
    <w:rsid w:val="002B4D07"/>
    <w:rsid w:val="002B5859"/>
    <w:rsid w:val="002B5B50"/>
    <w:rsid w:val="002B5CA5"/>
    <w:rsid w:val="002B6227"/>
    <w:rsid w:val="002B63B7"/>
    <w:rsid w:val="002B63DD"/>
    <w:rsid w:val="002B6643"/>
    <w:rsid w:val="002B6739"/>
    <w:rsid w:val="002B67B7"/>
    <w:rsid w:val="002B7435"/>
    <w:rsid w:val="002B7C44"/>
    <w:rsid w:val="002C0221"/>
    <w:rsid w:val="002C0645"/>
    <w:rsid w:val="002C2CE4"/>
    <w:rsid w:val="002C4B0E"/>
    <w:rsid w:val="002C68E6"/>
    <w:rsid w:val="002C6B3C"/>
    <w:rsid w:val="002D0048"/>
    <w:rsid w:val="002D03CC"/>
    <w:rsid w:val="002D08A3"/>
    <w:rsid w:val="002D1E83"/>
    <w:rsid w:val="002D343A"/>
    <w:rsid w:val="002D3909"/>
    <w:rsid w:val="002D393A"/>
    <w:rsid w:val="002D3BCF"/>
    <w:rsid w:val="002D47E5"/>
    <w:rsid w:val="002D5D93"/>
    <w:rsid w:val="002D5E4A"/>
    <w:rsid w:val="002D71AF"/>
    <w:rsid w:val="002D7AB3"/>
    <w:rsid w:val="002D7C7C"/>
    <w:rsid w:val="002D7E69"/>
    <w:rsid w:val="002E2BF1"/>
    <w:rsid w:val="002E2CCF"/>
    <w:rsid w:val="002E3A8B"/>
    <w:rsid w:val="002E3FCD"/>
    <w:rsid w:val="002E528C"/>
    <w:rsid w:val="002E5E16"/>
    <w:rsid w:val="002E754A"/>
    <w:rsid w:val="002F121E"/>
    <w:rsid w:val="002F1ACC"/>
    <w:rsid w:val="002F2A8A"/>
    <w:rsid w:val="002F2EEE"/>
    <w:rsid w:val="002F3E2C"/>
    <w:rsid w:val="002F5257"/>
    <w:rsid w:val="002F718C"/>
    <w:rsid w:val="002F7B94"/>
    <w:rsid w:val="002F7CA9"/>
    <w:rsid w:val="0030126B"/>
    <w:rsid w:val="003015A8"/>
    <w:rsid w:val="00302DFD"/>
    <w:rsid w:val="003033C3"/>
    <w:rsid w:val="00303C41"/>
    <w:rsid w:val="00303ED5"/>
    <w:rsid w:val="00304D50"/>
    <w:rsid w:val="00305B5A"/>
    <w:rsid w:val="00305CDA"/>
    <w:rsid w:val="003079AF"/>
    <w:rsid w:val="00307D5E"/>
    <w:rsid w:val="003131ED"/>
    <w:rsid w:val="00315549"/>
    <w:rsid w:val="00316AA5"/>
    <w:rsid w:val="00316DB9"/>
    <w:rsid w:val="00316E97"/>
    <w:rsid w:val="00317152"/>
    <w:rsid w:val="0032075C"/>
    <w:rsid w:val="00320AE1"/>
    <w:rsid w:val="003217C1"/>
    <w:rsid w:val="00322BB3"/>
    <w:rsid w:val="00322CFE"/>
    <w:rsid w:val="00323E94"/>
    <w:rsid w:val="003261A7"/>
    <w:rsid w:val="00326C25"/>
    <w:rsid w:val="0032708B"/>
    <w:rsid w:val="003271F5"/>
    <w:rsid w:val="00327B83"/>
    <w:rsid w:val="00327D30"/>
    <w:rsid w:val="0033006C"/>
    <w:rsid w:val="003300CE"/>
    <w:rsid w:val="00330185"/>
    <w:rsid w:val="003306AC"/>
    <w:rsid w:val="00330E1F"/>
    <w:rsid w:val="00330F4B"/>
    <w:rsid w:val="0033105A"/>
    <w:rsid w:val="00331FC8"/>
    <w:rsid w:val="0033210D"/>
    <w:rsid w:val="00332782"/>
    <w:rsid w:val="00333587"/>
    <w:rsid w:val="003343A6"/>
    <w:rsid w:val="003344D6"/>
    <w:rsid w:val="003351BE"/>
    <w:rsid w:val="00335451"/>
    <w:rsid w:val="0033609F"/>
    <w:rsid w:val="00336CD7"/>
    <w:rsid w:val="00340BE8"/>
    <w:rsid w:val="003415C2"/>
    <w:rsid w:val="00342A42"/>
    <w:rsid w:val="003434C9"/>
    <w:rsid w:val="003437AF"/>
    <w:rsid w:val="00343BB4"/>
    <w:rsid w:val="00344E66"/>
    <w:rsid w:val="003451A0"/>
    <w:rsid w:val="003465F3"/>
    <w:rsid w:val="00347ADD"/>
    <w:rsid w:val="00350BD0"/>
    <w:rsid w:val="00350EDA"/>
    <w:rsid w:val="00351145"/>
    <w:rsid w:val="0035162E"/>
    <w:rsid w:val="00351F1B"/>
    <w:rsid w:val="00352022"/>
    <w:rsid w:val="00352E45"/>
    <w:rsid w:val="00353F5B"/>
    <w:rsid w:val="00354241"/>
    <w:rsid w:val="00355EDA"/>
    <w:rsid w:val="00356CA1"/>
    <w:rsid w:val="003571CA"/>
    <w:rsid w:val="0035785C"/>
    <w:rsid w:val="003579FD"/>
    <w:rsid w:val="00360280"/>
    <w:rsid w:val="003608A8"/>
    <w:rsid w:val="00361964"/>
    <w:rsid w:val="0036209D"/>
    <w:rsid w:val="003620A5"/>
    <w:rsid w:val="00363326"/>
    <w:rsid w:val="0036372A"/>
    <w:rsid w:val="0036382F"/>
    <w:rsid w:val="00363EF4"/>
    <w:rsid w:val="00365FD6"/>
    <w:rsid w:val="003679BC"/>
    <w:rsid w:val="00367CE4"/>
    <w:rsid w:val="00370680"/>
    <w:rsid w:val="00370C0B"/>
    <w:rsid w:val="00370E65"/>
    <w:rsid w:val="0037198A"/>
    <w:rsid w:val="00371CAB"/>
    <w:rsid w:val="00371DA6"/>
    <w:rsid w:val="0037269C"/>
    <w:rsid w:val="00373513"/>
    <w:rsid w:val="003737FA"/>
    <w:rsid w:val="003746B5"/>
    <w:rsid w:val="00374DF9"/>
    <w:rsid w:val="003760D9"/>
    <w:rsid w:val="0037752A"/>
    <w:rsid w:val="00380374"/>
    <w:rsid w:val="00381056"/>
    <w:rsid w:val="00381711"/>
    <w:rsid w:val="0038174C"/>
    <w:rsid w:val="00382C95"/>
    <w:rsid w:val="0038423B"/>
    <w:rsid w:val="00385AC8"/>
    <w:rsid w:val="003860E5"/>
    <w:rsid w:val="00386674"/>
    <w:rsid w:val="00387BFA"/>
    <w:rsid w:val="00387FFB"/>
    <w:rsid w:val="00391401"/>
    <w:rsid w:val="003914F5"/>
    <w:rsid w:val="00392C57"/>
    <w:rsid w:val="00393126"/>
    <w:rsid w:val="003932F9"/>
    <w:rsid w:val="00393CE8"/>
    <w:rsid w:val="0039414A"/>
    <w:rsid w:val="0039435A"/>
    <w:rsid w:val="0039499C"/>
    <w:rsid w:val="003954EC"/>
    <w:rsid w:val="00395EFF"/>
    <w:rsid w:val="0039777E"/>
    <w:rsid w:val="00397A29"/>
    <w:rsid w:val="00397C74"/>
    <w:rsid w:val="00397D12"/>
    <w:rsid w:val="00397EF7"/>
    <w:rsid w:val="003A0066"/>
    <w:rsid w:val="003A0926"/>
    <w:rsid w:val="003A098F"/>
    <w:rsid w:val="003A0D04"/>
    <w:rsid w:val="003A1542"/>
    <w:rsid w:val="003A1610"/>
    <w:rsid w:val="003A2131"/>
    <w:rsid w:val="003A27DE"/>
    <w:rsid w:val="003A2923"/>
    <w:rsid w:val="003A3A67"/>
    <w:rsid w:val="003A3BDA"/>
    <w:rsid w:val="003A4BE4"/>
    <w:rsid w:val="003A4E9B"/>
    <w:rsid w:val="003A58B3"/>
    <w:rsid w:val="003A5B9C"/>
    <w:rsid w:val="003A6387"/>
    <w:rsid w:val="003A7B5F"/>
    <w:rsid w:val="003B27F7"/>
    <w:rsid w:val="003B2E17"/>
    <w:rsid w:val="003B2F47"/>
    <w:rsid w:val="003B3509"/>
    <w:rsid w:val="003B4606"/>
    <w:rsid w:val="003B4D22"/>
    <w:rsid w:val="003B54F5"/>
    <w:rsid w:val="003B6505"/>
    <w:rsid w:val="003B6A50"/>
    <w:rsid w:val="003B72B4"/>
    <w:rsid w:val="003B740F"/>
    <w:rsid w:val="003B746A"/>
    <w:rsid w:val="003B7ED1"/>
    <w:rsid w:val="003C094C"/>
    <w:rsid w:val="003C0FF8"/>
    <w:rsid w:val="003C21B8"/>
    <w:rsid w:val="003C3E5F"/>
    <w:rsid w:val="003C4201"/>
    <w:rsid w:val="003C4B63"/>
    <w:rsid w:val="003C4B78"/>
    <w:rsid w:val="003C616B"/>
    <w:rsid w:val="003C6AA2"/>
    <w:rsid w:val="003C6E86"/>
    <w:rsid w:val="003C7E89"/>
    <w:rsid w:val="003D0A70"/>
    <w:rsid w:val="003D1E46"/>
    <w:rsid w:val="003D220D"/>
    <w:rsid w:val="003D27E5"/>
    <w:rsid w:val="003D3117"/>
    <w:rsid w:val="003D340A"/>
    <w:rsid w:val="003D514F"/>
    <w:rsid w:val="003D53E3"/>
    <w:rsid w:val="003D5721"/>
    <w:rsid w:val="003D7418"/>
    <w:rsid w:val="003D787B"/>
    <w:rsid w:val="003E0135"/>
    <w:rsid w:val="003E3160"/>
    <w:rsid w:val="003E40A1"/>
    <w:rsid w:val="003E5634"/>
    <w:rsid w:val="003E60FC"/>
    <w:rsid w:val="003E75D9"/>
    <w:rsid w:val="003E77E2"/>
    <w:rsid w:val="003F088F"/>
    <w:rsid w:val="003F0E7A"/>
    <w:rsid w:val="003F1037"/>
    <w:rsid w:val="003F12FF"/>
    <w:rsid w:val="003F19E0"/>
    <w:rsid w:val="003F1A9C"/>
    <w:rsid w:val="003F497F"/>
    <w:rsid w:val="003F55DD"/>
    <w:rsid w:val="003F6529"/>
    <w:rsid w:val="003F6A8B"/>
    <w:rsid w:val="003F7321"/>
    <w:rsid w:val="0040001C"/>
    <w:rsid w:val="00400CDD"/>
    <w:rsid w:val="004012E0"/>
    <w:rsid w:val="00402EB4"/>
    <w:rsid w:val="0040359C"/>
    <w:rsid w:val="004035A1"/>
    <w:rsid w:val="00403615"/>
    <w:rsid w:val="00403C46"/>
    <w:rsid w:val="00403F79"/>
    <w:rsid w:val="00404866"/>
    <w:rsid w:val="00405DBC"/>
    <w:rsid w:val="0040602D"/>
    <w:rsid w:val="00406343"/>
    <w:rsid w:val="00406C5D"/>
    <w:rsid w:val="00410419"/>
    <w:rsid w:val="00410AAB"/>
    <w:rsid w:val="00411D92"/>
    <w:rsid w:val="0041208F"/>
    <w:rsid w:val="00414C09"/>
    <w:rsid w:val="0041594F"/>
    <w:rsid w:val="00415BC1"/>
    <w:rsid w:val="00416356"/>
    <w:rsid w:val="0041753F"/>
    <w:rsid w:val="00417879"/>
    <w:rsid w:val="0042174D"/>
    <w:rsid w:val="00422853"/>
    <w:rsid w:val="004234CA"/>
    <w:rsid w:val="00424BE0"/>
    <w:rsid w:val="004279A5"/>
    <w:rsid w:val="0043039C"/>
    <w:rsid w:val="0043055A"/>
    <w:rsid w:val="0043275D"/>
    <w:rsid w:val="00433466"/>
    <w:rsid w:val="004349E3"/>
    <w:rsid w:val="00434AF0"/>
    <w:rsid w:val="00435511"/>
    <w:rsid w:val="0043574B"/>
    <w:rsid w:val="00435D64"/>
    <w:rsid w:val="00437629"/>
    <w:rsid w:val="00437B46"/>
    <w:rsid w:val="00442A31"/>
    <w:rsid w:val="00442F48"/>
    <w:rsid w:val="00442F4D"/>
    <w:rsid w:val="00443382"/>
    <w:rsid w:val="004435AD"/>
    <w:rsid w:val="004438E2"/>
    <w:rsid w:val="0044403E"/>
    <w:rsid w:val="004441DC"/>
    <w:rsid w:val="004445EC"/>
    <w:rsid w:val="00444911"/>
    <w:rsid w:val="004461C6"/>
    <w:rsid w:val="00446723"/>
    <w:rsid w:val="00447486"/>
    <w:rsid w:val="0044765C"/>
    <w:rsid w:val="00450F58"/>
    <w:rsid w:val="004515C0"/>
    <w:rsid w:val="00451A40"/>
    <w:rsid w:val="004536EF"/>
    <w:rsid w:val="0045441F"/>
    <w:rsid w:val="00454541"/>
    <w:rsid w:val="00457A16"/>
    <w:rsid w:val="00460668"/>
    <w:rsid w:val="0046118D"/>
    <w:rsid w:val="00461BF0"/>
    <w:rsid w:val="0046322E"/>
    <w:rsid w:val="00464099"/>
    <w:rsid w:val="004641FA"/>
    <w:rsid w:val="0046453B"/>
    <w:rsid w:val="00464C05"/>
    <w:rsid w:val="00465826"/>
    <w:rsid w:val="00465CA8"/>
    <w:rsid w:val="0046721F"/>
    <w:rsid w:val="00470172"/>
    <w:rsid w:val="004712A9"/>
    <w:rsid w:val="00472C1E"/>
    <w:rsid w:val="00472E16"/>
    <w:rsid w:val="00473309"/>
    <w:rsid w:val="00473FF6"/>
    <w:rsid w:val="0047421A"/>
    <w:rsid w:val="0047447D"/>
    <w:rsid w:val="004750FA"/>
    <w:rsid w:val="004758BF"/>
    <w:rsid w:val="0047752C"/>
    <w:rsid w:val="004836F1"/>
    <w:rsid w:val="0048385E"/>
    <w:rsid w:val="00483B59"/>
    <w:rsid w:val="0048455D"/>
    <w:rsid w:val="00485D53"/>
    <w:rsid w:val="00485E0F"/>
    <w:rsid w:val="00485FE0"/>
    <w:rsid w:val="004862C5"/>
    <w:rsid w:val="00486442"/>
    <w:rsid w:val="00491514"/>
    <w:rsid w:val="00491676"/>
    <w:rsid w:val="0049200E"/>
    <w:rsid w:val="00492ED6"/>
    <w:rsid w:val="004939CB"/>
    <w:rsid w:val="00493EE2"/>
    <w:rsid w:val="0049443C"/>
    <w:rsid w:val="00494C14"/>
    <w:rsid w:val="00494FA0"/>
    <w:rsid w:val="0049731D"/>
    <w:rsid w:val="004A047A"/>
    <w:rsid w:val="004A04E9"/>
    <w:rsid w:val="004A123D"/>
    <w:rsid w:val="004A1A60"/>
    <w:rsid w:val="004A20DA"/>
    <w:rsid w:val="004A2A1F"/>
    <w:rsid w:val="004A3D4C"/>
    <w:rsid w:val="004A3FF9"/>
    <w:rsid w:val="004A697A"/>
    <w:rsid w:val="004A6EB7"/>
    <w:rsid w:val="004B1118"/>
    <w:rsid w:val="004B2116"/>
    <w:rsid w:val="004B221D"/>
    <w:rsid w:val="004B2EAE"/>
    <w:rsid w:val="004B2FFA"/>
    <w:rsid w:val="004B3A03"/>
    <w:rsid w:val="004B54B9"/>
    <w:rsid w:val="004B5B1C"/>
    <w:rsid w:val="004B5F57"/>
    <w:rsid w:val="004B6874"/>
    <w:rsid w:val="004B7AA8"/>
    <w:rsid w:val="004C0CD6"/>
    <w:rsid w:val="004C31F4"/>
    <w:rsid w:val="004C3973"/>
    <w:rsid w:val="004C480F"/>
    <w:rsid w:val="004C5459"/>
    <w:rsid w:val="004C54EB"/>
    <w:rsid w:val="004C55B1"/>
    <w:rsid w:val="004C7233"/>
    <w:rsid w:val="004C75B9"/>
    <w:rsid w:val="004C7960"/>
    <w:rsid w:val="004C7E51"/>
    <w:rsid w:val="004C7EC1"/>
    <w:rsid w:val="004D15D6"/>
    <w:rsid w:val="004D1AA1"/>
    <w:rsid w:val="004D1B1A"/>
    <w:rsid w:val="004D3723"/>
    <w:rsid w:val="004D4118"/>
    <w:rsid w:val="004D412F"/>
    <w:rsid w:val="004D4BE7"/>
    <w:rsid w:val="004D519C"/>
    <w:rsid w:val="004D60C6"/>
    <w:rsid w:val="004D70C3"/>
    <w:rsid w:val="004D714E"/>
    <w:rsid w:val="004E0B14"/>
    <w:rsid w:val="004E15AE"/>
    <w:rsid w:val="004E1647"/>
    <w:rsid w:val="004E1BB2"/>
    <w:rsid w:val="004E20A2"/>
    <w:rsid w:val="004E27C9"/>
    <w:rsid w:val="004E2C10"/>
    <w:rsid w:val="004E434F"/>
    <w:rsid w:val="004E4B5E"/>
    <w:rsid w:val="004E4B93"/>
    <w:rsid w:val="004E4C0F"/>
    <w:rsid w:val="004E58C6"/>
    <w:rsid w:val="004E62AC"/>
    <w:rsid w:val="004E65C2"/>
    <w:rsid w:val="004E7B6D"/>
    <w:rsid w:val="004E7E3F"/>
    <w:rsid w:val="004F0137"/>
    <w:rsid w:val="004F037E"/>
    <w:rsid w:val="004F04E9"/>
    <w:rsid w:val="004F084B"/>
    <w:rsid w:val="004F0CF2"/>
    <w:rsid w:val="004F15AF"/>
    <w:rsid w:val="004F184A"/>
    <w:rsid w:val="004F2476"/>
    <w:rsid w:val="004F254F"/>
    <w:rsid w:val="004F2BDA"/>
    <w:rsid w:val="004F37E4"/>
    <w:rsid w:val="004F43D1"/>
    <w:rsid w:val="004F533B"/>
    <w:rsid w:val="004F546C"/>
    <w:rsid w:val="004F6003"/>
    <w:rsid w:val="004F6BFF"/>
    <w:rsid w:val="00500E6C"/>
    <w:rsid w:val="00502132"/>
    <w:rsid w:val="005029C7"/>
    <w:rsid w:val="005032CB"/>
    <w:rsid w:val="0050355A"/>
    <w:rsid w:val="00503A57"/>
    <w:rsid w:val="00504474"/>
    <w:rsid w:val="0050528B"/>
    <w:rsid w:val="005057CD"/>
    <w:rsid w:val="00507DD0"/>
    <w:rsid w:val="00510BD2"/>
    <w:rsid w:val="00511316"/>
    <w:rsid w:val="0051169E"/>
    <w:rsid w:val="005147BB"/>
    <w:rsid w:val="00514F3E"/>
    <w:rsid w:val="00515CC1"/>
    <w:rsid w:val="00516165"/>
    <w:rsid w:val="00516472"/>
    <w:rsid w:val="005167C7"/>
    <w:rsid w:val="00517153"/>
    <w:rsid w:val="005209FE"/>
    <w:rsid w:val="00520D19"/>
    <w:rsid w:val="00521349"/>
    <w:rsid w:val="00521DF5"/>
    <w:rsid w:val="005263CA"/>
    <w:rsid w:val="00526ACA"/>
    <w:rsid w:val="00527812"/>
    <w:rsid w:val="00527E65"/>
    <w:rsid w:val="00530874"/>
    <w:rsid w:val="005309E6"/>
    <w:rsid w:val="00530BA0"/>
    <w:rsid w:val="00532FF6"/>
    <w:rsid w:val="0053326E"/>
    <w:rsid w:val="00533C95"/>
    <w:rsid w:val="00534F68"/>
    <w:rsid w:val="00537694"/>
    <w:rsid w:val="00537DBD"/>
    <w:rsid w:val="0054015B"/>
    <w:rsid w:val="005413D7"/>
    <w:rsid w:val="005428A1"/>
    <w:rsid w:val="00542C98"/>
    <w:rsid w:val="00542CFD"/>
    <w:rsid w:val="00543606"/>
    <w:rsid w:val="00545711"/>
    <w:rsid w:val="00545A67"/>
    <w:rsid w:val="0054667B"/>
    <w:rsid w:val="005516F1"/>
    <w:rsid w:val="00552BF7"/>
    <w:rsid w:val="00553735"/>
    <w:rsid w:val="00555C2D"/>
    <w:rsid w:val="00555C4E"/>
    <w:rsid w:val="00555F46"/>
    <w:rsid w:val="005563E9"/>
    <w:rsid w:val="00557019"/>
    <w:rsid w:val="00557DDA"/>
    <w:rsid w:val="0056148B"/>
    <w:rsid w:val="00561986"/>
    <w:rsid w:val="00561A5D"/>
    <w:rsid w:val="00564173"/>
    <w:rsid w:val="00564BC5"/>
    <w:rsid w:val="00564C5E"/>
    <w:rsid w:val="005666B6"/>
    <w:rsid w:val="00566A9B"/>
    <w:rsid w:val="00566C64"/>
    <w:rsid w:val="00566D0D"/>
    <w:rsid w:val="00567C47"/>
    <w:rsid w:val="00567D6D"/>
    <w:rsid w:val="00570B9B"/>
    <w:rsid w:val="005716DA"/>
    <w:rsid w:val="005719FE"/>
    <w:rsid w:val="00571FB4"/>
    <w:rsid w:val="00572487"/>
    <w:rsid w:val="00572FF2"/>
    <w:rsid w:val="0057426C"/>
    <w:rsid w:val="0057479B"/>
    <w:rsid w:val="00574892"/>
    <w:rsid w:val="005753BA"/>
    <w:rsid w:val="005755FD"/>
    <w:rsid w:val="0057594F"/>
    <w:rsid w:val="00575B01"/>
    <w:rsid w:val="00575B9F"/>
    <w:rsid w:val="00576696"/>
    <w:rsid w:val="005766A4"/>
    <w:rsid w:val="00581927"/>
    <w:rsid w:val="00581F0E"/>
    <w:rsid w:val="00581FA6"/>
    <w:rsid w:val="005822C2"/>
    <w:rsid w:val="00583153"/>
    <w:rsid w:val="00583656"/>
    <w:rsid w:val="00583DE9"/>
    <w:rsid w:val="0058459F"/>
    <w:rsid w:val="005867AC"/>
    <w:rsid w:val="00586BE8"/>
    <w:rsid w:val="00587282"/>
    <w:rsid w:val="00587E11"/>
    <w:rsid w:val="00587E96"/>
    <w:rsid w:val="00590272"/>
    <w:rsid w:val="005910D9"/>
    <w:rsid w:val="0059125F"/>
    <w:rsid w:val="0059128F"/>
    <w:rsid w:val="00591D28"/>
    <w:rsid w:val="00591E9E"/>
    <w:rsid w:val="00594375"/>
    <w:rsid w:val="00594FEA"/>
    <w:rsid w:val="00595A8C"/>
    <w:rsid w:val="00596438"/>
    <w:rsid w:val="00596908"/>
    <w:rsid w:val="00597041"/>
    <w:rsid w:val="005970FB"/>
    <w:rsid w:val="005973D2"/>
    <w:rsid w:val="005979C4"/>
    <w:rsid w:val="005A15D2"/>
    <w:rsid w:val="005A1824"/>
    <w:rsid w:val="005A1CD6"/>
    <w:rsid w:val="005A2F77"/>
    <w:rsid w:val="005A35A1"/>
    <w:rsid w:val="005A50EB"/>
    <w:rsid w:val="005A61BB"/>
    <w:rsid w:val="005A6245"/>
    <w:rsid w:val="005A6273"/>
    <w:rsid w:val="005A62BB"/>
    <w:rsid w:val="005A63E4"/>
    <w:rsid w:val="005A6459"/>
    <w:rsid w:val="005A74C5"/>
    <w:rsid w:val="005A77B9"/>
    <w:rsid w:val="005A780D"/>
    <w:rsid w:val="005B01CF"/>
    <w:rsid w:val="005B1CBB"/>
    <w:rsid w:val="005B1FD4"/>
    <w:rsid w:val="005B2796"/>
    <w:rsid w:val="005B40D9"/>
    <w:rsid w:val="005B41A9"/>
    <w:rsid w:val="005B4237"/>
    <w:rsid w:val="005B4CB3"/>
    <w:rsid w:val="005B72E4"/>
    <w:rsid w:val="005C0DD7"/>
    <w:rsid w:val="005C1849"/>
    <w:rsid w:val="005C24D6"/>
    <w:rsid w:val="005C31A4"/>
    <w:rsid w:val="005C36DC"/>
    <w:rsid w:val="005C3776"/>
    <w:rsid w:val="005C37BD"/>
    <w:rsid w:val="005C3915"/>
    <w:rsid w:val="005C40DC"/>
    <w:rsid w:val="005C4895"/>
    <w:rsid w:val="005C49BF"/>
    <w:rsid w:val="005C4F24"/>
    <w:rsid w:val="005C580A"/>
    <w:rsid w:val="005C5885"/>
    <w:rsid w:val="005C5BFC"/>
    <w:rsid w:val="005C6B4B"/>
    <w:rsid w:val="005C73E0"/>
    <w:rsid w:val="005C774B"/>
    <w:rsid w:val="005C781D"/>
    <w:rsid w:val="005C7F94"/>
    <w:rsid w:val="005D0014"/>
    <w:rsid w:val="005D13D4"/>
    <w:rsid w:val="005D14D2"/>
    <w:rsid w:val="005D1625"/>
    <w:rsid w:val="005D2282"/>
    <w:rsid w:val="005D2E2F"/>
    <w:rsid w:val="005D32CC"/>
    <w:rsid w:val="005D398A"/>
    <w:rsid w:val="005D3F93"/>
    <w:rsid w:val="005D4F88"/>
    <w:rsid w:val="005D5002"/>
    <w:rsid w:val="005D6509"/>
    <w:rsid w:val="005D6CE4"/>
    <w:rsid w:val="005D769B"/>
    <w:rsid w:val="005D7785"/>
    <w:rsid w:val="005D78E9"/>
    <w:rsid w:val="005E0400"/>
    <w:rsid w:val="005E07E6"/>
    <w:rsid w:val="005E1575"/>
    <w:rsid w:val="005E1C28"/>
    <w:rsid w:val="005E1C9E"/>
    <w:rsid w:val="005E289E"/>
    <w:rsid w:val="005E2903"/>
    <w:rsid w:val="005E2BCD"/>
    <w:rsid w:val="005E3544"/>
    <w:rsid w:val="005E44B9"/>
    <w:rsid w:val="005E56D8"/>
    <w:rsid w:val="005E5D4C"/>
    <w:rsid w:val="005E71A0"/>
    <w:rsid w:val="005E7339"/>
    <w:rsid w:val="005E7F7D"/>
    <w:rsid w:val="005F1EEF"/>
    <w:rsid w:val="005F3369"/>
    <w:rsid w:val="005F55AF"/>
    <w:rsid w:val="005F63A7"/>
    <w:rsid w:val="005F6610"/>
    <w:rsid w:val="005F6B1D"/>
    <w:rsid w:val="005F7572"/>
    <w:rsid w:val="0060016F"/>
    <w:rsid w:val="0060032A"/>
    <w:rsid w:val="00603851"/>
    <w:rsid w:val="00603F36"/>
    <w:rsid w:val="006054F5"/>
    <w:rsid w:val="006067D3"/>
    <w:rsid w:val="00607B5E"/>
    <w:rsid w:val="00607F1C"/>
    <w:rsid w:val="006100C4"/>
    <w:rsid w:val="0061152B"/>
    <w:rsid w:val="00611CBA"/>
    <w:rsid w:val="00613545"/>
    <w:rsid w:val="00613816"/>
    <w:rsid w:val="00613924"/>
    <w:rsid w:val="00614E8D"/>
    <w:rsid w:val="0061790F"/>
    <w:rsid w:val="00621404"/>
    <w:rsid w:val="0062337A"/>
    <w:rsid w:val="00623EF4"/>
    <w:rsid w:val="00625533"/>
    <w:rsid w:val="00625598"/>
    <w:rsid w:val="00625D85"/>
    <w:rsid w:val="00626CED"/>
    <w:rsid w:val="00627154"/>
    <w:rsid w:val="0062721E"/>
    <w:rsid w:val="00627790"/>
    <w:rsid w:val="006279E8"/>
    <w:rsid w:val="00627BB8"/>
    <w:rsid w:val="00630225"/>
    <w:rsid w:val="00630A44"/>
    <w:rsid w:val="0063116C"/>
    <w:rsid w:val="00631859"/>
    <w:rsid w:val="0063341B"/>
    <w:rsid w:val="00634D66"/>
    <w:rsid w:val="00634E60"/>
    <w:rsid w:val="00635CE1"/>
    <w:rsid w:val="00636D87"/>
    <w:rsid w:val="00637F4D"/>
    <w:rsid w:val="00642269"/>
    <w:rsid w:val="00643B61"/>
    <w:rsid w:val="00644727"/>
    <w:rsid w:val="00644C74"/>
    <w:rsid w:val="0064535D"/>
    <w:rsid w:val="006456A2"/>
    <w:rsid w:val="006459CA"/>
    <w:rsid w:val="00646666"/>
    <w:rsid w:val="00646B2E"/>
    <w:rsid w:val="00647459"/>
    <w:rsid w:val="0064778E"/>
    <w:rsid w:val="006518F1"/>
    <w:rsid w:val="006531C4"/>
    <w:rsid w:val="00653A3D"/>
    <w:rsid w:val="00654737"/>
    <w:rsid w:val="00654CFA"/>
    <w:rsid w:val="00656B07"/>
    <w:rsid w:val="006601D6"/>
    <w:rsid w:val="00661DC5"/>
    <w:rsid w:val="006620BD"/>
    <w:rsid w:val="00662462"/>
    <w:rsid w:val="00662B6E"/>
    <w:rsid w:val="00663019"/>
    <w:rsid w:val="00664543"/>
    <w:rsid w:val="00666987"/>
    <w:rsid w:val="00667A73"/>
    <w:rsid w:val="00667A7A"/>
    <w:rsid w:val="006706E1"/>
    <w:rsid w:val="00670CCE"/>
    <w:rsid w:val="00672ED6"/>
    <w:rsid w:val="0067333A"/>
    <w:rsid w:val="00674E21"/>
    <w:rsid w:val="00675870"/>
    <w:rsid w:val="0067756C"/>
    <w:rsid w:val="00680648"/>
    <w:rsid w:val="00680962"/>
    <w:rsid w:val="00681F16"/>
    <w:rsid w:val="00682363"/>
    <w:rsid w:val="00682DDF"/>
    <w:rsid w:val="006832B9"/>
    <w:rsid w:val="006837DA"/>
    <w:rsid w:val="00684B1D"/>
    <w:rsid w:val="006856CA"/>
    <w:rsid w:val="006866A8"/>
    <w:rsid w:val="0068673E"/>
    <w:rsid w:val="00690925"/>
    <w:rsid w:val="006909DF"/>
    <w:rsid w:val="006925FA"/>
    <w:rsid w:val="00692729"/>
    <w:rsid w:val="00692838"/>
    <w:rsid w:val="00692CF7"/>
    <w:rsid w:val="00692D86"/>
    <w:rsid w:val="00693034"/>
    <w:rsid w:val="00695C65"/>
    <w:rsid w:val="006975F7"/>
    <w:rsid w:val="006977B8"/>
    <w:rsid w:val="00697E0D"/>
    <w:rsid w:val="006A0904"/>
    <w:rsid w:val="006A0AE7"/>
    <w:rsid w:val="006A15DE"/>
    <w:rsid w:val="006A21C0"/>
    <w:rsid w:val="006A2B24"/>
    <w:rsid w:val="006A2BD7"/>
    <w:rsid w:val="006A3005"/>
    <w:rsid w:val="006A363E"/>
    <w:rsid w:val="006A3CDD"/>
    <w:rsid w:val="006A427F"/>
    <w:rsid w:val="006A473A"/>
    <w:rsid w:val="006A5F95"/>
    <w:rsid w:val="006A62F6"/>
    <w:rsid w:val="006A63D8"/>
    <w:rsid w:val="006A7025"/>
    <w:rsid w:val="006A7F14"/>
    <w:rsid w:val="006B0452"/>
    <w:rsid w:val="006B05A7"/>
    <w:rsid w:val="006B0ADE"/>
    <w:rsid w:val="006B1AB5"/>
    <w:rsid w:val="006B2463"/>
    <w:rsid w:val="006B321E"/>
    <w:rsid w:val="006B57B7"/>
    <w:rsid w:val="006B5901"/>
    <w:rsid w:val="006B5D44"/>
    <w:rsid w:val="006C0087"/>
    <w:rsid w:val="006C054B"/>
    <w:rsid w:val="006C086A"/>
    <w:rsid w:val="006C388C"/>
    <w:rsid w:val="006C3ACB"/>
    <w:rsid w:val="006C572B"/>
    <w:rsid w:val="006C5C3D"/>
    <w:rsid w:val="006C655B"/>
    <w:rsid w:val="006C6775"/>
    <w:rsid w:val="006C75EE"/>
    <w:rsid w:val="006D14B0"/>
    <w:rsid w:val="006D249B"/>
    <w:rsid w:val="006D40E1"/>
    <w:rsid w:val="006D49EC"/>
    <w:rsid w:val="006D5441"/>
    <w:rsid w:val="006D7A9E"/>
    <w:rsid w:val="006D7EBE"/>
    <w:rsid w:val="006E04F1"/>
    <w:rsid w:val="006E159B"/>
    <w:rsid w:val="006E1D3E"/>
    <w:rsid w:val="006E226A"/>
    <w:rsid w:val="006E278B"/>
    <w:rsid w:val="006E32D3"/>
    <w:rsid w:val="006E33FF"/>
    <w:rsid w:val="006E3BD6"/>
    <w:rsid w:val="006E3C1A"/>
    <w:rsid w:val="006F0A8C"/>
    <w:rsid w:val="006F133A"/>
    <w:rsid w:val="006F15A3"/>
    <w:rsid w:val="006F2347"/>
    <w:rsid w:val="006F2ACB"/>
    <w:rsid w:val="006F3E09"/>
    <w:rsid w:val="006F5B34"/>
    <w:rsid w:val="006F5F45"/>
    <w:rsid w:val="006F6936"/>
    <w:rsid w:val="006F6E57"/>
    <w:rsid w:val="006F7112"/>
    <w:rsid w:val="00700879"/>
    <w:rsid w:val="00701145"/>
    <w:rsid w:val="0070242F"/>
    <w:rsid w:val="00702D90"/>
    <w:rsid w:val="00703CA6"/>
    <w:rsid w:val="00703EEE"/>
    <w:rsid w:val="00704D9A"/>
    <w:rsid w:val="00705D70"/>
    <w:rsid w:val="007061FA"/>
    <w:rsid w:val="00710D96"/>
    <w:rsid w:val="0071117E"/>
    <w:rsid w:val="007118FD"/>
    <w:rsid w:val="00711B58"/>
    <w:rsid w:val="00712436"/>
    <w:rsid w:val="007134E7"/>
    <w:rsid w:val="00713597"/>
    <w:rsid w:val="00716E79"/>
    <w:rsid w:val="00717446"/>
    <w:rsid w:val="007207AF"/>
    <w:rsid w:val="00720D9B"/>
    <w:rsid w:val="00720EB1"/>
    <w:rsid w:val="00723B37"/>
    <w:rsid w:val="00723BAE"/>
    <w:rsid w:val="00723F82"/>
    <w:rsid w:val="00726921"/>
    <w:rsid w:val="007273A4"/>
    <w:rsid w:val="00727801"/>
    <w:rsid w:val="00727A9D"/>
    <w:rsid w:val="00727CAA"/>
    <w:rsid w:val="00727E72"/>
    <w:rsid w:val="0073186F"/>
    <w:rsid w:val="007334D8"/>
    <w:rsid w:val="00734735"/>
    <w:rsid w:val="00735214"/>
    <w:rsid w:val="00735898"/>
    <w:rsid w:val="00736F1E"/>
    <w:rsid w:val="0074089A"/>
    <w:rsid w:val="00740BD9"/>
    <w:rsid w:val="007438D1"/>
    <w:rsid w:val="0074391F"/>
    <w:rsid w:val="00744633"/>
    <w:rsid w:val="00744C34"/>
    <w:rsid w:val="0074540B"/>
    <w:rsid w:val="00745A74"/>
    <w:rsid w:val="00745BDD"/>
    <w:rsid w:val="0074626B"/>
    <w:rsid w:val="00746312"/>
    <w:rsid w:val="007471E2"/>
    <w:rsid w:val="00747233"/>
    <w:rsid w:val="00750568"/>
    <w:rsid w:val="00751D49"/>
    <w:rsid w:val="007530CC"/>
    <w:rsid w:val="00753B45"/>
    <w:rsid w:val="00753BA2"/>
    <w:rsid w:val="00753EE1"/>
    <w:rsid w:val="00754C76"/>
    <w:rsid w:val="00755EC8"/>
    <w:rsid w:val="00756C93"/>
    <w:rsid w:val="00756F1B"/>
    <w:rsid w:val="00757224"/>
    <w:rsid w:val="0076016E"/>
    <w:rsid w:val="00760303"/>
    <w:rsid w:val="00760C2B"/>
    <w:rsid w:val="00761200"/>
    <w:rsid w:val="00761F8C"/>
    <w:rsid w:val="00762F54"/>
    <w:rsid w:val="00765C1F"/>
    <w:rsid w:val="00770171"/>
    <w:rsid w:val="007706D3"/>
    <w:rsid w:val="00770D7D"/>
    <w:rsid w:val="00772E71"/>
    <w:rsid w:val="00773E82"/>
    <w:rsid w:val="00773ECA"/>
    <w:rsid w:val="007742C2"/>
    <w:rsid w:val="00776930"/>
    <w:rsid w:val="00777217"/>
    <w:rsid w:val="00777C6B"/>
    <w:rsid w:val="007801FF"/>
    <w:rsid w:val="00781360"/>
    <w:rsid w:val="0078187B"/>
    <w:rsid w:val="00781DC7"/>
    <w:rsid w:val="0078282A"/>
    <w:rsid w:val="00783EF7"/>
    <w:rsid w:val="00785748"/>
    <w:rsid w:val="007859EA"/>
    <w:rsid w:val="00785F73"/>
    <w:rsid w:val="007863D3"/>
    <w:rsid w:val="0078666D"/>
    <w:rsid w:val="0078785D"/>
    <w:rsid w:val="00790283"/>
    <w:rsid w:val="00791C5A"/>
    <w:rsid w:val="007931FF"/>
    <w:rsid w:val="007937AF"/>
    <w:rsid w:val="007951AC"/>
    <w:rsid w:val="0079536C"/>
    <w:rsid w:val="00795DD6"/>
    <w:rsid w:val="007A1457"/>
    <w:rsid w:val="007A1D79"/>
    <w:rsid w:val="007A4107"/>
    <w:rsid w:val="007A42ED"/>
    <w:rsid w:val="007A4A42"/>
    <w:rsid w:val="007A5D5A"/>
    <w:rsid w:val="007A61A2"/>
    <w:rsid w:val="007A676F"/>
    <w:rsid w:val="007A6AA7"/>
    <w:rsid w:val="007A7A94"/>
    <w:rsid w:val="007B0B4F"/>
    <w:rsid w:val="007B0FE5"/>
    <w:rsid w:val="007B165A"/>
    <w:rsid w:val="007B16E9"/>
    <w:rsid w:val="007B1D5B"/>
    <w:rsid w:val="007B3E8A"/>
    <w:rsid w:val="007B47BF"/>
    <w:rsid w:val="007B4F5F"/>
    <w:rsid w:val="007B5E49"/>
    <w:rsid w:val="007B6D17"/>
    <w:rsid w:val="007B6D3F"/>
    <w:rsid w:val="007B6F98"/>
    <w:rsid w:val="007B714B"/>
    <w:rsid w:val="007C0B0F"/>
    <w:rsid w:val="007C0D22"/>
    <w:rsid w:val="007C0DFE"/>
    <w:rsid w:val="007C0F32"/>
    <w:rsid w:val="007C1EE4"/>
    <w:rsid w:val="007C28F8"/>
    <w:rsid w:val="007C2C0B"/>
    <w:rsid w:val="007C320F"/>
    <w:rsid w:val="007C3568"/>
    <w:rsid w:val="007C4583"/>
    <w:rsid w:val="007C496D"/>
    <w:rsid w:val="007C4E5A"/>
    <w:rsid w:val="007C4ECC"/>
    <w:rsid w:val="007C55F4"/>
    <w:rsid w:val="007C6619"/>
    <w:rsid w:val="007C66D6"/>
    <w:rsid w:val="007D068E"/>
    <w:rsid w:val="007D0DB8"/>
    <w:rsid w:val="007D1B5F"/>
    <w:rsid w:val="007D2676"/>
    <w:rsid w:val="007D29E4"/>
    <w:rsid w:val="007D2C86"/>
    <w:rsid w:val="007D2FC5"/>
    <w:rsid w:val="007D5086"/>
    <w:rsid w:val="007D775A"/>
    <w:rsid w:val="007E04AB"/>
    <w:rsid w:val="007E0BE2"/>
    <w:rsid w:val="007E0CF4"/>
    <w:rsid w:val="007E241E"/>
    <w:rsid w:val="007E2775"/>
    <w:rsid w:val="007E2921"/>
    <w:rsid w:val="007E47DE"/>
    <w:rsid w:val="007E4C03"/>
    <w:rsid w:val="007E50C1"/>
    <w:rsid w:val="007E52EB"/>
    <w:rsid w:val="007E5737"/>
    <w:rsid w:val="007F08D9"/>
    <w:rsid w:val="007F1727"/>
    <w:rsid w:val="007F19D7"/>
    <w:rsid w:val="007F1ACF"/>
    <w:rsid w:val="007F1D4F"/>
    <w:rsid w:val="007F20CD"/>
    <w:rsid w:val="007F491C"/>
    <w:rsid w:val="007F4A3A"/>
    <w:rsid w:val="007F4B71"/>
    <w:rsid w:val="007F4BD7"/>
    <w:rsid w:val="007F51D1"/>
    <w:rsid w:val="007F5213"/>
    <w:rsid w:val="007F5E7C"/>
    <w:rsid w:val="007F6430"/>
    <w:rsid w:val="007F6440"/>
    <w:rsid w:val="007F759B"/>
    <w:rsid w:val="00803422"/>
    <w:rsid w:val="00803B8C"/>
    <w:rsid w:val="008067D0"/>
    <w:rsid w:val="0080690C"/>
    <w:rsid w:val="0080750F"/>
    <w:rsid w:val="008105BF"/>
    <w:rsid w:val="00810A52"/>
    <w:rsid w:val="00810F26"/>
    <w:rsid w:val="00811BE0"/>
    <w:rsid w:val="008124E1"/>
    <w:rsid w:val="00812540"/>
    <w:rsid w:val="008129AD"/>
    <w:rsid w:val="00813073"/>
    <w:rsid w:val="00814EDB"/>
    <w:rsid w:val="00815169"/>
    <w:rsid w:val="0081599E"/>
    <w:rsid w:val="00820035"/>
    <w:rsid w:val="008208F2"/>
    <w:rsid w:val="00822A5E"/>
    <w:rsid w:val="00823695"/>
    <w:rsid w:val="00823CC6"/>
    <w:rsid w:val="00825D25"/>
    <w:rsid w:val="00830EDC"/>
    <w:rsid w:val="008311A8"/>
    <w:rsid w:val="008311DF"/>
    <w:rsid w:val="00831919"/>
    <w:rsid w:val="008331DA"/>
    <w:rsid w:val="00834223"/>
    <w:rsid w:val="008357CE"/>
    <w:rsid w:val="00835C3F"/>
    <w:rsid w:val="00836C86"/>
    <w:rsid w:val="00836C99"/>
    <w:rsid w:val="008403B3"/>
    <w:rsid w:val="008410C7"/>
    <w:rsid w:val="00841361"/>
    <w:rsid w:val="00842F16"/>
    <w:rsid w:val="00843798"/>
    <w:rsid w:val="00844E47"/>
    <w:rsid w:val="00844F99"/>
    <w:rsid w:val="0084559E"/>
    <w:rsid w:val="0085008C"/>
    <w:rsid w:val="00850323"/>
    <w:rsid w:val="008503A8"/>
    <w:rsid w:val="00850DE4"/>
    <w:rsid w:val="00852877"/>
    <w:rsid w:val="00852DC9"/>
    <w:rsid w:val="00853E27"/>
    <w:rsid w:val="00854ED4"/>
    <w:rsid w:val="0085596A"/>
    <w:rsid w:val="008574AA"/>
    <w:rsid w:val="00857631"/>
    <w:rsid w:val="00860990"/>
    <w:rsid w:val="00860D6D"/>
    <w:rsid w:val="00860F13"/>
    <w:rsid w:val="00861376"/>
    <w:rsid w:val="008619AA"/>
    <w:rsid w:val="00861A78"/>
    <w:rsid w:val="00861CB1"/>
    <w:rsid w:val="0086281F"/>
    <w:rsid w:val="00862E04"/>
    <w:rsid w:val="008642E4"/>
    <w:rsid w:val="008658EF"/>
    <w:rsid w:val="00866E21"/>
    <w:rsid w:val="00867F7F"/>
    <w:rsid w:val="00871199"/>
    <w:rsid w:val="008723D3"/>
    <w:rsid w:val="0087294D"/>
    <w:rsid w:val="00872BE5"/>
    <w:rsid w:val="00872C0C"/>
    <w:rsid w:val="00873CDD"/>
    <w:rsid w:val="00874B12"/>
    <w:rsid w:val="00875A5F"/>
    <w:rsid w:val="00875B26"/>
    <w:rsid w:val="00875BE9"/>
    <w:rsid w:val="00875F06"/>
    <w:rsid w:val="00875FA0"/>
    <w:rsid w:val="00877035"/>
    <w:rsid w:val="008771E7"/>
    <w:rsid w:val="00877CFF"/>
    <w:rsid w:val="00877D22"/>
    <w:rsid w:val="008800DC"/>
    <w:rsid w:val="00880928"/>
    <w:rsid w:val="00880BAF"/>
    <w:rsid w:val="00881E02"/>
    <w:rsid w:val="00881E2F"/>
    <w:rsid w:val="008823B8"/>
    <w:rsid w:val="0088243C"/>
    <w:rsid w:val="0088289D"/>
    <w:rsid w:val="0088333C"/>
    <w:rsid w:val="0088450E"/>
    <w:rsid w:val="00884CE4"/>
    <w:rsid w:val="00885E5F"/>
    <w:rsid w:val="00890293"/>
    <w:rsid w:val="008908CC"/>
    <w:rsid w:val="00891195"/>
    <w:rsid w:val="00891B98"/>
    <w:rsid w:val="00891D91"/>
    <w:rsid w:val="00891FE5"/>
    <w:rsid w:val="00892EE9"/>
    <w:rsid w:val="00892F5E"/>
    <w:rsid w:val="00893507"/>
    <w:rsid w:val="00893DED"/>
    <w:rsid w:val="00894D41"/>
    <w:rsid w:val="00897743"/>
    <w:rsid w:val="00897C33"/>
    <w:rsid w:val="008A011B"/>
    <w:rsid w:val="008A2084"/>
    <w:rsid w:val="008A3141"/>
    <w:rsid w:val="008A3CE2"/>
    <w:rsid w:val="008A4597"/>
    <w:rsid w:val="008A69C2"/>
    <w:rsid w:val="008A6D10"/>
    <w:rsid w:val="008A7A6E"/>
    <w:rsid w:val="008B0E06"/>
    <w:rsid w:val="008B0F05"/>
    <w:rsid w:val="008B24DD"/>
    <w:rsid w:val="008B349B"/>
    <w:rsid w:val="008B3DFC"/>
    <w:rsid w:val="008B56E8"/>
    <w:rsid w:val="008B56EA"/>
    <w:rsid w:val="008B6223"/>
    <w:rsid w:val="008B6572"/>
    <w:rsid w:val="008B66D4"/>
    <w:rsid w:val="008B7E55"/>
    <w:rsid w:val="008C0718"/>
    <w:rsid w:val="008C0D08"/>
    <w:rsid w:val="008C1885"/>
    <w:rsid w:val="008C317C"/>
    <w:rsid w:val="008C34D3"/>
    <w:rsid w:val="008C379A"/>
    <w:rsid w:val="008C43BC"/>
    <w:rsid w:val="008C617B"/>
    <w:rsid w:val="008C6C71"/>
    <w:rsid w:val="008C7043"/>
    <w:rsid w:val="008D32C8"/>
    <w:rsid w:val="008D335F"/>
    <w:rsid w:val="008D3619"/>
    <w:rsid w:val="008D3DEB"/>
    <w:rsid w:val="008D42ED"/>
    <w:rsid w:val="008D42EF"/>
    <w:rsid w:val="008D4C2D"/>
    <w:rsid w:val="008D4C95"/>
    <w:rsid w:val="008D5A65"/>
    <w:rsid w:val="008D6062"/>
    <w:rsid w:val="008E0077"/>
    <w:rsid w:val="008E0788"/>
    <w:rsid w:val="008E1261"/>
    <w:rsid w:val="008E14BB"/>
    <w:rsid w:val="008E15B0"/>
    <w:rsid w:val="008E180B"/>
    <w:rsid w:val="008E1821"/>
    <w:rsid w:val="008E36A2"/>
    <w:rsid w:val="008E5982"/>
    <w:rsid w:val="008E5D52"/>
    <w:rsid w:val="008E5F1E"/>
    <w:rsid w:val="008E653A"/>
    <w:rsid w:val="008E6BAC"/>
    <w:rsid w:val="008E7045"/>
    <w:rsid w:val="008F0736"/>
    <w:rsid w:val="008F13A5"/>
    <w:rsid w:val="008F1800"/>
    <w:rsid w:val="008F1A88"/>
    <w:rsid w:val="008F2063"/>
    <w:rsid w:val="008F2E95"/>
    <w:rsid w:val="008F3444"/>
    <w:rsid w:val="008F3AE4"/>
    <w:rsid w:val="008F3AEA"/>
    <w:rsid w:val="008F3B67"/>
    <w:rsid w:val="008F3D12"/>
    <w:rsid w:val="008F4003"/>
    <w:rsid w:val="008F53A5"/>
    <w:rsid w:val="00900153"/>
    <w:rsid w:val="00900383"/>
    <w:rsid w:val="00900868"/>
    <w:rsid w:val="0090130C"/>
    <w:rsid w:val="009023A4"/>
    <w:rsid w:val="00902AC4"/>
    <w:rsid w:val="00902C8F"/>
    <w:rsid w:val="00902F00"/>
    <w:rsid w:val="00903B7E"/>
    <w:rsid w:val="00903FBA"/>
    <w:rsid w:val="00904D13"/>
    <w:rsid w:val="00906BD9"/>
    <w:rsid w:val="00907223"/>
    <w:rsid w:val="00911027"/>
    <w:rsid w:val="009110F9"/>
    <w:rsid w:val="00911923"/>
    <w:rsid w:val="00911E1F"/>
    <w:rsid w:val="009128A6"/>
    <w:rsid w:val="00912A4F"/>
    <w:rsid w:val="00912BF5"/>
    <w:rsid w:val="00912E04"/>
    <w:rsid w:val="00913F89"/>
    <w:rsid w:val="00914E4D"/>
    <w:rsid w:val="00915F80"/>
    <w:rsid w:val="00916F25"/>
    <w:rsid w:val="0091783B"/>
    <w:rsid w:val="00920028"/>
    <w:rsid w:val="00920DF6"/>
    <w:rsid w:val="00921787"/>
    <w:rsid w:val="0092212A"/>
    <w:rsid w:val="00922378"/>
    <w:rsid w:val="009224C2"/>
    <w:rsid w:val="00924E6B"/>
    <w:rsid w:val="009254D1"/>
    <w:rsid w:val="009255CD"/>
    <w:rsid w:val="009265EE"/>
    <w:rsid w:val="0093019B"/>
    <w:rsid w:val="0093033A"/>
    <w:rsid w:val="00930381"/>
    <w:rsid w:val="00931702"/>
    <w:rsid w:val="00932B70"/>
    <w:rsid w:val="00933708"/>
    <w:rsid w:val="0093478D"/>
    <w:rsid w:val="00936FED"/>
    <w:rsid w:val="009375F5"/>
    <w:rsid w:val="00937F8A"/>
    <w:rsid w:val="00940A7D"/>
    <w:rsid w:val="00940AD7"/>
    <w:rsid w:val="00940D3C"/>
    <w:rsid w:val="00941807"/>
    <w:rsid w:val="00941A30"/>
    <w:rsid w:val="00942A99"/>
    <w:rsid w:val="00942C7D"/>
    <w:rsid w:val="009445B8"/>
    <w:rsid w:val="0094478E"/>
    <w:rsid w:val="009453B0"/>
    <w:rsid w:val="00945810"/>
    <w:rsid w:val="00945C55"/>
    <w:rsid w:val="009465F4"/>
    <w:rsid w:val="00950562"/>
    <w:rsid w:val="00950EC5"/>
    <w:rsid w:val="0095139E"/>
    <w:rsid w:val="0095572D"/>
    <w:rsid w:val="00956809"/>
    <w:rsid w:val="00957F0D"/>
    <w:rsid w:val="009612B1"/>
    <w:rsid w:val="00961415"/>
    <w:rsid w:val="0096186E"/>
    <w:rsid w:val="009623D6"/>
    <w:rsid w:val="00963300"/>
    <w:rsid w:val="00963439"/>
    <w:rsid w:val="00963533"/>
    <w:rsid w:val="00964C6A"/>
    <w:rsid w:val="00965163"/>
    <w:rsid w:val="009658E1"/>
    <w:rsid w:val="00965B11"/>
    <w:rsid w:val="00966CA3"/>
    <w:rsid w:val="009674FD"/>
    <w:rsid w:val="00967953"/>
    <w:rsid w:val="00970D13"/>
    <w:rsid w:val="00970E89"/>
    <w:rsid w:val="00971EE1"/>
    <w:rsid w:val="009722FC"/>
    <w:rsid w:val="009726B9"/>
    <w:rsid w:val="009733E4"/>
    <w:rsid w:val="00973A86"/>
    <w:rsid w:val="00973C07"/>
    <w:rsid w:val="00974E18"/>
    <w:rsid w:val="00975310"/>
    <w:rsid w:val="00975EB3"/>
    <w:rsid w:val="009762B7"/>
    <w:rsid w:val="0097633A"/>
    <w:rsid w:val="00976EA1"/>
    <w:rsid w:val="0097707A"/>
    <w:rsid w:val="0098015F"/>
    <w:rsid w:val="009802A7"/>
    <w:rsid w:val="00980865"/>
    <w:rsid w:val="00981318"/>
    <w:rsid w:val="009823F6"/>
    <w:rsid w:val="00984326"/>
    <w:rsid w:val="00986514"/>
    <w:rsid w:val="0098741B"/>
    <w:rsid w:val="00990D44"/>
    <w:rsid w:val="009915BC"/>
    <w:rsid w:val="009927D2"/>
    <w:rsid w:val="009939C8"/>
    <w:rsid w:val="00993C48"/>
    <w:rsid w:val="00993E58"/>
    <w:rsid w:val="00996299"/>
    <w:rsid w:val="009A061F"/>
    <w:rsid w:val="009A07AB"/>
    <w:rsid w:val="009A115A"/>
    <w:rsid w:val="009A24C1"/>
    <w:rsid w:val="009A3D1F"/>
    <w:rsid w:val="009A40BA"/>
    <w:rsid w:val="009A5D96"/>
    <w:rsid w:val="009A62B0"/>
    <w:rsid w:val="009A6456"/>
    <w:rsid w:val="009A69FC"/>
    <w:rsid w:val="009A6C06"/>
    <w:rsid w:val="009A75EF"/>
    <w:rsid w:val="009B0165"/>
    <w:rsid w:val="009B02F4"/>
    <w:rsid w:val="009B0A21"/>
    <w:rsid w:val="009B1459"/>
    <w:rsid w:val="009B165B"/>
    <w:rsid w:val="009B1CB1"/>
    <w:rsid w:val="009B4551"/>
    <w:rsid w:val="009B58EF"/>
    <w:rsid w:val="009B5C79"/>
    <w:rsid w:val="009B61A3"/>
    <w:rsid w:val="009B7AB5"/>
    <w:rsid w:val="009C0052"/>
    <w:rsid w:val="009C05A8"/>
    <w:rsid w:val="009C0B4D"/>
    <w:rsid w:val="009C156A"/>
    <w:rsid w:val="009C17AA"/>
    <w:rsid w:val="009C2813"/>
    <w:rsid w:val="009C2EAE"/>
    <w:rsid w:val="009C57B7"/>
    <w:rsid w:val="009C6020"/>
    <w:rsid w:val="009C68EE"/>
    <w:rsid w:val="009C7D4E"/>
    <w:rsid w:val="009D041D"/>
    <w:rsid w:val="009D09DD"/>
    <w:rsid w:val="009D142F"/>
    <w:rsid w:val="009D1A69"/>
    <w:rsid w:val="009D212E"/>
    <w:rsid w:val="009D2703"/>
    <w:rsid w:val="009D2C53"/>
    <w:rsid w:val="009D424F"/>
    <w:rsid w:val="009D43FE"/>
    <w:rsid w:val="009D45F2"/>
    <w:rsid w:val="009D469E"/>
    <w:rsid w:val="009D4CF2"/>
    <w:rsid w:val="009D4F15"/>
    <w:rsid w:val="009D4FF8"/>
    <w:rsid w:val="009D5C90"/>
    <w:rsid w:val="009D6858"/>
    <w:rsid w:val="009D68A3"/>
    <w:rsid w:val="009E0064"/>
    <w:rsid w:val="009E4927"/>
    <w:rsid w:val="009E571E"/>
    <w:rsid w:val="009E59D7"/>
    <w:rsid w:val="009E5C34"/>
    <w:rsid w:val="009E721C"/>
    <w:rsid w:val="009F0E8C"/>
    <w:rsid w:val="009F3333"/>
    <w:rsid w:val="009F4387"/>
    <w:rsid w:val="009F4E74"/>
    <w:rsid w:val="009F5C0A"/>
    <w:rsid w:val="009F5D9F"/>
    <w:rsid w:val="009F5E1B"/>
    <w:rsid w:val="009F5E80"/>
    <w:rsid w:val="009F7266"/>
    <w:rsid w:val="009F7B08"/>
    <w:rsid w:val="00A000BF"/>
    <w:rsid w:val="00A02A57"/>
    <w:rsid w:val="00A0529D"/>
    <w:rsid w:val="00A05360"/>
    <w:rsid w:val="00A058EA"/>
    <w:rsid w:val="00A06527"/>
    <w:rsid w:val="00A069BD"/>
    <w:rsid w:val="00A07060"/>
    <w:rsid w:val="00A1098B"/>
    <w:rsid w:val="00A11235"/>
    <w:rsid w:val="00A1130B"/>
    <w:rsid w:val="00A11872"/>
    <w:rsid w:val="00A13D53"/>
    <w:rsid w:val="00A14552"/>
    <w:rsid w:val="00A146AC"/>
    <w:rsid w:val="00A1529C"/>
    <w:rsid w:val="00A15A1E"/>
    <w:rsid w:val="00A163F9"/>
    <w:rsid w:val="00A170B7"/>
    <w:rsid w:val="00A20348"/>
    <w:rsid w:val="00A20510"/>
    <w:rsid w:val="00A2066F"/>
    <w:rsid w:val="00A2264C"/>
    <w:rsid w:val="00A22A92"/>
    <w:rsid w:val="00A22C84"/>
    <w:rsid w:val="00A22E9E"/>
    <w:rsid w:val="00A22EFE"/>
    <w:rsid w:val="00A24A37"/>
    <w:rsid w:val="00A259F7"/>
    <w:rsid w:val="00A26FB9"/>
    <w:rsid w:val="00A3023C"/>
    <w:rsid w:val="00A31881"/>
    <w:rsid w:val="00A32957"/>
    <w:rsid w:val="00A32A0C"/>
    <w:rsid w:val="00A3324B"/>
    <w:rsid w:val="00A35825"/>
    <w:rsid w:val="00A36372"/>
    <w:rsid w:val="00A36DB3"/>
    <w:rsid w:val="00A37D66"/>
    <w:rsid w:val="00A40205"/>
    <w:rsid w:val="00A405B6"/>
    <w:rsid w:val="00A40B61"/>
    <w:rsid w:val="00A447C1"/>
    <w:rsid w:val="00A457F9"/>
    <w:rsid w:val="00A4637C"/>
    <w:rsid w:val="00A46673"/>
    <w:rsid w:val="00A4771D"/>
    <w:rsid w:val="00A50484"/>
    <w:rsid w:val="00A51D29"/>
    <w:rsid w:val="00A5272F"/>
    <w:rsid w:val="00A52991"/>
    <w:rsid w:val="00A52E49"/>
    <w:rsid w:val="00A53168"/>
    <w:rsid w:val="00A54363"/>
    <w:rsid w:val="00A56668"/>
    <w:rsid w:val="00A56EB1"/>
    <w:rsid w:val="00A56FC7"/>
    <w:rsid w:val="00A57D31"/>
    <w:rsid w:val="00A60594"/>
    <w:rsid w:val="00A6172B"/>
    <w:rsid w:val="00A617A7"/>
    <w:rsid w:val="00A62CDA"/>
    <w:rsid w:val="00A64470"/>
    <w:rsid w:val="00A652A0"/>
    <w:rsid w:val="00A65641"/>
    <w:rsid w:val="00A65908"/>
    <w:rsid w:val="00A65DFA"/>
    <w:rsid w:val="00A66BFF"/>
    <w:rsid w:val="00A67673"/>
    <w:rsid w:val="00A6772C"/>
    <w:rsid w:val="00A70ED7"/>
    <w:rsid w:val="00A711F8"/>
    <w:rsid w:val="00A71F5A"/>
    <w:rsid w:val="00A726C9"/>
    <w:rsid w:val="00A72DE5"/>
    <w:rsid w:val="00A73E51"/>
    <w:rsid w:val="00A74B29"/>
    <w:rsid w:val="00A74BF1"/>
    <w:rsid w:val="00A74F9D"/>
    <w:rsid w:val="00A75286"/>
    <w:rsid w:val="00A75E80"/>
    <w:rsid w:val="00A75E97"/>
    <w:rsid w:val="00A771DC"/>
    <w:rsid w:val="00A77C71"/>
    <w:rsid w:val="00A77DED"/>
    <w:rsid w:val="00A810C3"/>
    <w:rsid w:val="00A821D7"/>
    <w:rsid w:val="00A832CD"/>
    <w:rsid w:val="00A84777"/>
    <w:rsid w:val="00A86C27"/>
    <w:rsid w:val="00A8707B"/>
    <w:rsid w:val="00A8714F"/>
    <w:rsid w:val="00A875FD"/>
    <w:rsid w:val="00A902A7"/>
    <w:rsid w:val="00A90883"/>
    <w:rsid w:val="00A9126E"/>
    <w:rsid w:val="00A9131F"/>
    <w:rsid w:val="00A9173C"/>
    <w:rsid w:val="00A92E19"/>
    <w:rsid w:val="00A930DF"/>
    <w:rsid w:val="00A93868"/>
    <w:rsid w:val="00A961C7"/>
    <w:rsid w:val="00A96543"/>
    <w:rsid w:val="00A96A42"/>
    <w:rsid w:val="00A97CDD"/>
    <w:rsid w:val="00AA0036"/>
    <w:rsid w:val="00AA1FA9"/>
    <w:rsid w:val="00AA3D73"/>
    <w:rsid w:val="00AA534F"/>
    <w:rsid w:val="00AA6891"/>
    <w:rsid w:val="00AA7C7D"/>
    <w:rsid w:val="00AA7D70"/>
    <w:rsid w:val="00AB0D5D"/>
    <w:rsid w:val="00AB0F74"/>
    <w:rsid w:val="00AB2DF0"/>
    <w:rsid w:val="00AB303E"/>
    <w:rsid w:val="00AB3A34"/>
    <w:rsid w:val="00AB451F"/>
    <w:rsid w:val="00AB4DD9"/>
    <w:rsid w:val="00AB5353"/>
    <w:rsid w:val="00AB61C4"/>
    <w:rsid w:val="00AB6714"/>
    <w:rsid w:val="00AB728A"/>
    <w:rsid w:val="00AB7627"/>
    <w:rsid w:val="00AB77C9"/>
    <w:rsid w:val="00AB7852"/>
    <w:rsid w:val="00AB7B76"/>
    <w:rsid w:val="00AB7F9A"/>
    <w:rsid w:val="00AC008F"/>
    <w:rsid w:val="00AC1E03"/>
    <w:rsid w:val="00AC53DA"/>
    <w:rsid w:val="00AC5FCA"/>
    <w:rsid w:val="00AD039A"/>
    <w:rsid w:val="00AD0703"/>
    <w:rsid w:val="00AD0AAD"/>
    <w:rsid w:val="00AD0CF6"/>
    <w:rsid w:val="00AD0E24"/>
    <w:rsid w:val="00AD16D8"/>
    <w:rsid w:val="00AD2B92"/>
    <w:rsid w:val="00AD34CD"/>
    <w:rsid w:val="00AD37F5"/>
    <w:rsid w:val="00AD4397"/>
    <w:rsid w:val="00AD66D0"/>
    <w:rsid w:val="00AD7BBB"/>
    <w:rsid w:val="00AD7BC0"/>
    <w:rsid w:val="00AE0802"/>
    <w:rsid w:val="00AE08DE"/>
    <w:rsid w:val="00AE191D"/>
    <w:rsid w:val="00AE2A9E"/>
    <w:rsid w:val="00AE3538"/>
    <w:rsid w:val="00AE397A"/>
    <w:rsid w:val="00AE3AEF"/>
    <w:rsid w:val="00AE4858"/>
    <w:rsid w:val="00AE588A"/>
    <w:rsid w:val="00AE703A"/>
    <w:rsid w:val="00AE7E96"/>
    <w:rsid w:val="00AF225B"/>
    <w:rsid w:val="00AF2481"/>
    <w:rsid w:val="00AF3B93"/>
    <w:rsid w:val="00AF53C8"/>
    <w:rsid w:val="00AF6152"/>
    <w:rsid w:val="00AF684A"/>
    <w:rsid w:val="00AF6860"/>
    <w:rsid w:val="00AF6AC7"/>
    <w:rsid w:val="00AF799B"/>
    <w:rsid w:val="00B02D40"/>
    <w:rsid w:val="00B03B6A"/>
    <w:rsid w:val="00B0421E"/>
    <w:rsid w:val="00B05874"/>
    <w:rsid w:val="00B05A27"/>
    <w:rsid w:val="00B05C46"/>
    <w:rsid w:val="00B060A5"/>
    <w:rsid w:val="00B079F5"/>
    <w:rsid w:val="00B07D32"/>
    <w:rsid w:val="00B07D6E"/>
    <w:rsid w:val="00B102CB"/>
    <w:rsid w:val="00B1037E"/>
    <w:rsid w:val="00B1228D"/>
    <w:rsid w:val="00B126AF"/>
    <w:rsid w:val="00B13CE1"/>
    <w:rsid w:val="00B1480F"/>
    <w:rsid w:val="00B14E0D"/>
    <w:rsid w:val="00B15017"/>
    <w:rsid w:val="00B1534E"/>
    <w:rsid w:val="00B157B0"/>
    <w:rsid w:val="00B15E2D"/>
    <w:rsid w:val="00B16545"/>
    <w:rsid w:val="00B17A4D"/>
    <w:rsid w:val="00B20BDE"/>
    <w:rsid w:val="00B21527"/>
    <w:rsid w:val="00B21A1D"/>
    <w:rsid w:val="00B23147"/>
    <w:rsid w:val="00B23D89"/>
    <w:rsid w:val="00B23DCF"/>
    <w:rsid w:val="00B23EA6"/>
    <w:rsid w:val="00B240AE"/>
    <w:rsid w:val="00B2442B"/>
    <w:rsid w:val="00B2565B"/>
    <w:rsid w:val="00B25DF4"/>
    <w:rsid w:val="00B25EF2"/>
    <w:rsid w:val="00B2621F"/>
    <w:rsid w:val="00B26C01"/>
    <w:rsid w:val="00B273A7"/>
    <w:rsid w:val="00B3056A"/>
    <w:rsid w:val="00B30D27"/>
    <w:rsid w:val="00B31E40"/>
    <w:rsid w:val="00B32116"/>
    <w:rsid w:val="00B33322"/>
    <w:rsid w:val="00B33B6D"/>
    <w:rsid w:val="00B33FC2"/>
    <w:rsid w:val="00B342C4"/>
    <w:rsid w:val="00B34399"/>
    <w:rsid w:val="00B34962"/>
    <w:rsid w:val="00B349AC"/>
    <w:rsid w:val="00B36020"/>
    <w:rsid w:val="00B36B36"/>
    <w:rsid w:val="00B37DDA"/>
    <w:rsid w:val="00B4176A"/>
    <w:rsid w:val="00B4181E"/>
    <w:rsid w:val="00B428F5"/>
    <w:rsid w:val="00B437C5"/>
    <w:rsid w:val="00B43B79"/>
    <w:rsid w:val="00B47B97"/>
    <w:rsid w:val="00B51E41"/>
    <w:rsid w:val="00B522FF"/>
    <w:rsid w:val="00B55974"/>
    <w:rsid w:val="00B5602A"/>
    <w:rsid w:val="00B56176"/>
    <w:rsid w:val="00B56EE6"/>
    <w:rsid w:val="00B61E88"/>
    <w:rsid w:val="00B62289"/>
    <w:rsid w:val="00B6413E"/>
    <w:rsid w:val="00B6532A"/>
    <w:rsid w:val="00B668CB"/>
    <w:rsid w:val="00B6788E"/>
    <w:rsid w:val="00B67B9C"/>
    <w:rsid w:val="00B70BBB"/>
    <w:rsid w:val="00B70EBB"/>
    <w:rsid w:val="00B72741"/>
    <w:rsid w:val="00B72C71"/>
    <w:rsid w:val="00B730F6"/>
    <w:rsid w:val="00B74B8C"/>
    <w:rsid w:val="00B75067"/>
    <w:rsid w:val="00B75FD6"/>
    <w:rsid w:val="00B76F6F"/>
    <w:rsid w:val="00B7735E"/>
    <w:rsid w:val="00B81556"/>
    <w:rsid w:val="00B81706"/>
    <w:rsid w:val="00B81A95"/>
    <w:rsid w:val="00B831A1"/>
    <w:rsid w:val="00B83959"/>
    <w:rsid w:val="00B83C54"/>
    <w:rsid w:val="00B84CAD"/>
    <w:rsid w:val="00B85076"/>
    <w:rsid w:val="00B850DD"/>
    <w:rsid w:val="00B8573E"/>
    <w:rsid w:val="00B86EE5"/>
    <w:rsid w:val="00B87888"/>
    <w:rsid w:val="00B90388"/>
    <w:rsid w:val="00B9068A"/>
    <w:rsid w:val="00B927B3"/>
    <w:rsid w:val="00B93528"/>
    <w:rsid w:val="00B94597"/>
    <w:rsid w:val="00B94AC5"/>
    <w:rsid w:val="00B95859"/>
    <w:rsid w:val="00B962D2"/>
    <w:rsid w:val="00BA4B75"/>
    <w:rsid w:val="00BA59D7"/>
    <w:rsid w:val="00BA5BA7"/>
    <w:rsid w:val="00BB015C"/>
    <w:rsid w:val="00BB01AE"/>
    <w:rsid w:val="00BB01CC"/>
    <w:rsid w:val="00BB0ACA"/>
    <w:rsid w:val="00BB1CB7"/>
    <w:rsid w:val="00BB286E"/>
    <w:rsid w:val="00BB3225"/>
    <w:rsid w:val="00BB44F0"/>
    <w:rsid w:val="00BB6BC8"/>
    <w:rsid w:val="00BB6DBE"/>
    <w:rsid w:val="00BB73BC"/>
    <w:rsid w:val="00BC0B51"/>
    <w:rsid w:val="00BC21C5"/>
    <w:rsid w:val="00BC316E"/>
    <w:rsid w:val="00BC3336"/>
    <w:rsid w:val="00BC3545"/>
    <w:rsid w:val="00BC4638"/>
    <w:rsid w:val="00BC49E8"/>
    <w:rsid w:val="00BC4AEA"/>
    <w:rsid w:val="00BC4F3E"/>
    <w:rsid w:val="00BC5625"/>
    <w:rsid w:val="00BC57B0"/>
    <w:rsid w:val="00BC5984"/>
    <w:rsid w:val="00BC767D"/>
    <w:rsid w:val="00BC7A72"/>
    <w:rsid w:val="00BC7A8E"/>
    <w:rsid w:val="00BC7B6F"/>
    <w:rsid w:val="00BC7C4A"/>
    <w:rsid w:val="00BC7DDB"/>
    <w:rsid w:val="00BD059F"/>
    <w:rsid w:val="00BD0A63"/>
    <w:rsid w:val="00BD178B"/>
    <w:rsid w:val="00BD1C21"/>
    <w:rsid w:val="00BD201F"/>
    <w:rsid w:val="00BD454D"/>
    <w:rsid w:val="00BD488C"/>
    <w:rsid w:val="00BD52AC"/>
    <w:rsid w:val="00BD59B5"/>
    <w:rsid w:val="00BD59CD"/>
    <w:rsid w:val="00BD5A50"/>
    <w:rsid w:val="00BD67EC"/>
    <w:rsid w:val="00BD7113"/>
    <w:rsid w:val="00BD7531"/>
    <w:rsid w:val="00BE1E66"/>
    <w:rsid w:val="00BE2D36"/>
    <w:rsid w:val="00BE3A23"/>
    <w:rsid w:val="00BE40DC"/>
    <w:rsid w:val="00BE62AE"/>
    <w:rsid w:val="00BE6D61"/>
    <w:rsid w:val="00BF0020"/>
    <w:rsid w:val="00BF00CE"/>
    <w:rsid w:val="00BF0B2F"/>
    <w:rsid w:val="00BF106F"/>
    <w:rsid w:val="00BF12C0"/>
    <w:rsid w:val="00BF176B"/>
    <w:rsid w:val="00BF1EF8"/>
    <w:rsid w:val="00BF24AE"/>
    <w:rsid w:val="00BF315E"/>
    <w:rsid w:val="00BF5575"/>
    <w:rsid w:val="00C001C0"/>
    <w:rsid w:val="00C00349"/>
    <w:rsid w:val="00C00E47"/>
    <w:rsid w:val="00C01830"/>
    <w:rsid w:val="00C01E97"/>
    <w:rsid w:val="00C023DB"/>
    <w:rsid w:val="00C0401F"/>
    <w:rsid w:val="00C04F15"/>
    <w:rsid w:val="00C04F44"/>
    <w:rsid w:val="00C05739"/>
    <w:rsid w:val="00C05FAA"/>
    <w:rsid w:val="00C06263"/>
    <w:rsid w:val="00C06E6B"/>
    <w:rsid w:val="00C111C0"/>
    <w:rsid w:val="00C11B7B"/>
    <w:rsid w:val="00C120D3"/>
    <w:rsid w:val="00C12178"/>
    <w:rsid w:val="00C122B9"/>
    <w:rsid w:val="00C1275E"/>
    <w:rsid w:val="00C141E7"/>
    <w:rsid w:val="00C15A94"/>
    <w:rsid w:val="00C17586"/>
    <w:rsid w:val="00C21A6B"/>
    <w:rsid w:val="00C21C42"/>
    <w:rsid w:val="00C22405"/>
    <w:rsid w:val="00C23431"/>
    <w:rsid w:val="00C23941"/>
    <w:rsid w:val="00C24676"/>
    <w:rsid w:val="00C247AD"/>
    <w:rsid w:val="00C24B6B"/>
    <w:rsid w:val="00C26820"/>
    <w:rsid w:val="00C26C94"/>
    <w:rsid w:val="00C276C9"/>
    <w:rsid w:val="00C3207D"/>
    <w:rsid w:val="00C323E6"/>
    <w:rsid w:val="00C327E0"/>
    <w:rsid w:val="00C32C55"/>
    <w:rsid w:val="00C3387F"/>
    <w:rsid w:val="00C33D98"/>
    <w:rsid w:val="00C33E1D"/>
    <w:rsid w:val="00C33E93"/>
    <w:rsid w:val="00C3474A"/>
    <w:rsid w:val="00C34AA9"/>
    <w:rsid w:val="00C3584B"/>
    <w:rsid w:val="00C35A61"/>
    <w:rsid w:val="00C360B7"/>
    <w:rsid w:val="00C36C1F"/>
    <w:rsid w:val="00C36E06"/>
    <w:rsid w:val="00C370F4"/>
    <w:rsid w:val="00C37D05"/>
    <w:rsid w:val="00C40E9B"/>
    <w:rsid w:val="00C41E9A"/>
    <w:rsid w:val="00C429EE"/>
    <w:rsid w:val="00C43560"/>
    <w:rsid w:val="00C437B2"/>
    <w:rsid w:val="00C43A1E"/>
    <w:rsid w:val="00C43B71"/>
    <w:rsid w:val="00C450FC"/>
    <w:rsid w:val="00C45F8C"/>
    <w:rsid w:val="00C46AE0"/>
    <w:rsid w:val="00C46E31"/>
    <w:rsid w:val="00C47EFF"/>
    <w:rsid w:val="00C50D00"/>
    <w:rsid w:val="00C52E1C"/>
    <w:rsid w:val="00C53B06"/>
    <w:rsid w:val="00C53D4D"/>
    <w:rsid w:val="00C54627"/>
    <w:rsid w:val="00C54CA4"/>
    <w:rsid w:val="00C55B98"/>
    <w:rsid w:val="00C56624"/>
    <w:rsid w:val="00C56671"/>
    <w:rsid w:val="00C56729"/>
    <w:rsid w:val="00C567B6"/>
    <w:rsid w:val="00C60ABE"/>
    <w:rsid w:val="00C60E1E"/>
    <w:rsid w:val="00C60ED2"/>
    <w:rsid w:val="00C61413"/>
    <w:rsid w:val="00C620A7"/>
    <w:rsid w:val="00C62EE6"/>
    <w:rsid w:val="00C639C6"/>
    <w:rsid w:val="00C63E26"/>
    <w:rsid w:val="00C6498A"/>
    <w:rsid w:val="00C649E1"/>
    <w:rsid w:val="00C64A8A"/>
    <w:rsid w:val="00C64C1B"/>
    <w:rsid w:val="00C65DF6"/>
    <w:rsid w:val="00C66457"/>
    <w:rsid w:val="00C66950"/>
    <w:rsid w:val="00C66C91"/>
    <w:rsid w:val="00C6783D"/>
    <w:rsid w:val="00C704F4"/>
    <w:rsid w:val="00C70D32"/>
    <w:rsid w:val="00C71B5F"/>
    <w:rsid w:val="00C71BE4"/>
    <w:rsid w:val="00C73430"/>
    <w:rsid w:val="00C73C49"/>
    <w:rsid w:val="00C73CA3"/>
    <w:rsid w:val="00C754D9"/>
    <w:rsid w:val="00C76323"/>
    <w:rsid w:val="00C76B1F"/>
    <w:rsid w:val="00C80068"/>
    <w:rsid w:val="00C814F0"/>
    <w:rsid w:val="00C81D7B"/>
    <w:rsid w:val="00C8566B"/>
    <w:rsid w:val="00C8592F"/>
    <w:rsid w:val="00C87B78"/>
    <w:rsid w:val="00C90B93"/>
    <w:rsid w:val="00C90CEC"/>
    <w:rsid w:val="00C90CF2"/>
    <w:rsid w:val="00C910BD"/>
    <w:rsid w:val="00C91477"/>
    <w:rsid w:val="00C914B2"/>
    <w:rsid w:val="00C92432"/>
    <w:rsid w:val="00C92AC4"/>
    <w:rsid w:val="00C92E60"/>
    <w:rsid w:val="00C939AD"/>
    <w:rsid w:val="00C94564"/>
    <w:rsid w:val="00C94806"/>
    <w:rsid w:val="00C94AE1"/>
    <w:rsid w:val="00C94E52"/>
    <w:rsid w:val="00C954DC"/>
    <w:rsid w:val="00C95DB9"/>
    <w:rsid w:val="00C96600"/>
    <w:rsid w:val="00C97251"/>
    <w:rsid w:val="00C973E2"/>
    <w:rsid w:val="00C97A80"/>
    <w:rsid w:val="00C97D44"/>
    <w:rsid w:val="00C97E1A"/>
    <w:rsid w:val="00CA19C6"/>
    <w:rsid w:val="00CA1A52"/>
    <w:rsid w:val="00CA2F57"/>
    <w:rsid w:val="00CA34E8"/>
    <w:rsid w:val="00CA4BB6"/>
    <w:rsid w:val="00CA4F94"/>
    <w:rsid w:val="00CA51D3"/>
    <w:rsid w:val="00CA5283"/>
    <w:rsid w:val="00CA64C6"/>
    <w:rsid w:val="00CA6821"/>
    <w:rsid w:val="00CA6912"/>
    <w:rsid w:val="00CB0243"/>
    <w:rsid w:val="00CB0EE5"/>
    <w:rsid w:val="00CB1217"/>
    <w:rsid w:val="00CB1540"/>
    <w:rsid w:val="00CB1889"/>
    <w:rsid w:val="00CB2F20"/>
    <w:rsid w:val="00CB31B1"/>
    <w:rsid w:val="00CB52E7"/>
    <w:rsid w:val="00CB55A8"/>
    <w:rsid w:val="00CC2781"/>
    <w:rsid w:val="00CC2FB8"/>
    <w:rsid w:val="00CC3E22"/>
    <w:rsid w:val="00CC480F"/>
    <w:rsid w:val="00CC59FA"/>
    <w:rsid w:val="00CC7533"/>
    <w:rsid w:val="00CC7FD3"/>
    <w:rsid w:val="00CD0202"/>
    <w:rsid w:val="00CD10B9"/>
    <w:rsid w:val="00CD24B2"/>
    <w:rsid w:val="00CD435F"/>
    <w:rsid w:val="00CD4AC5"/>
    <w:rsid w:val="00CD4FB5"/>
    <w:rsid w:val="00CD590B"/>
    <w:rsid w:val="00CD659C"/>
    <w:rsid w:val="00CD7313"/>
    <w:rsid w:val="00CE27D0"/>
    <w:rsid w:val="00CE2FEA"/>
    <w:rsid w:val="00CE4042"/>
    <w:rsid w:val="00CE4E13"/>
    <w:rsid w:val="00CE51CD"/>
    <w:rsid w:val="00CE5972"/>
    <w:rsid w:val="00CE5BF4"/>
    <w:rsid w:val="00CE7172"/>
    <w:rsid w:val="00CE7960"/>
    <w:rsid w:val="00CF085E"/>
    <w:rsid w:val="00CF245D"/>
    <w:rsid w:val="00CF285A"/>
    <w:rsid w:val="00CF2B0F"/>
    <w:rsid w:val="00CF7383"/>
    <w:rsid w:val="00CF738C"/>
    <w:rsid w:val="00CF75F1"/>
    <w:rsid w:val="00CF7EBB"/>
    <w:rsid w:val="00D0039C"/>
    <w:rsid w:val="00D0060B"/>
    <w:rsid w:val="00D01B15"/>
    <w:rsid w:val="00D029AF"/>
    <w:rsid w:val="00D02E9A"/>
    <w:rsid w:val="00D046A6"/>
    <w:rsid w:val="00D06B51"/>
    <w:rsid w:val="00D102D7"/>
    <w:rsid w:val="00D159E7"/>
    <w:rsid w:val="00D15BE5"/>
    <w:rsid w:val="00D1641E"/>
    <w:rsid w:val="00D17839"/>
    <w:rsid w:val="00D17B2A"/>
    <w:rsid w:val="00D20196"/>
    <w:rsid w:val="00D20A7D"/>
    <w:rsid w:val="00D217C0"/>
    <w:rsid w:val="00D225CF"/>
    <w:rsid w:val="00D2423F"/>
    <w:rsid w:val="00D2479A"/>
    <w:rsid w:val="00D25AAF"/>
    <w:rsid w:val="00D25ED0"/>
    <w:rsid w:val="00D2611B"/>
    <w:rsid w:val="00D30430"/>
    <w:rsid w:val="00D310AB"/>
    <w:rsid w:val="00D31908"/>
    <w:rsid w:val="00D320F7"/>
    <w:rsid w:val="00D32307"/>
    <w:rsid w:val="00D32868"/>
    <w:rsid w:val="00D336EC"/>
    <w:rsid w:val="00D33D25"/>
    <w:rsid w:val="00D34A2C"/>
    <w:rsid w:val="00D34BB4"/>
    <w:rsid w:val="00D35769"/>
    <w:rsid w:val="00D36277"/>
    <w:rsid w:val="00D36990"/>
    <w:rsid w:val="00D36D23"/>
    <w:rsid w:val="00D36D61"/>
    <w:rsid w:val="00D37539"/>
    <w:rsid w:val="00D42A6A"/>
    <w:rsid w:val="00D43AF6"/>
    <w:rsid w:val="00D4498F"/>
    <w:rsid w:val="00D452E6"/>
    <w:rsid w:val="00D46421"/>
    <w:rsid w:val="00D46699"/>
    <w:rsid w:val="00D46F98"/>
    <w:rsid w:val="00D474D2"/>
    <w:rsid w:val="00D47E8D"/>
    <w:rsid w:val="00D512A8"/>
    <w:rsid w:val="00D517C1"/>
    <w:rsid w:val="00D5197E"/>
    <w:rsid w:val="00D51B89"/>
    <w:rsid w:val="00D51EB8"/>
    <w:rsid w:val="00D51F30"/>
    <w:rsid w:val="00D527CF"/>
    <w:rsid w:val="00D52D8E"/>
    <w:rsid w:val="00D54E5C"/>
    <w:rsid w:val="00D5627D"/>
    <w:rsid w:val="00D57188"/>
    <w:rsid w:val="00D5724E"/>
    <w:rsid w:val="00D60E5B"/>
    <w:rsid w:val="00D6274F"/>
    <w:rsid w:val="00D631B6"/>
    <w:rsid w:val="00D6325F"/>
    <w:rsid w:val="00D6365B"/>
    <w:rsid w:val="00D64AF7"/>
    <w:rsid w:val="00D70269"/>
    <w:rsid w:val="00D702E0"/>
    <w:rsid w:val="00D705FA"/>
    <w:rsid w:val="00D70E5B"/>
    <w:rsid w:val="00D70E7F"/>
    <w:rsid w:val="00D718AD"/>
    <w:rsid w:val="00D71ADC"/>
    <w:rsid w:val="00D7279A"/>
    <w:rsid w:val="00D7280B"/>
    <w:rsid w:val="00D72849"/>
    <w:rsid w:val="00D73C60"/>
    <w:rsid w:val="00D7449D"/>
    <w:rsid w:val="00D748D7"/>
    <w:rsid w:val="00D74C42"/>
    <w:rsid w:val="00D75231"/>
    <w:rsid w:val="00D7552A"/>
    <w:rsid w:val="00D75670"/>
    <w:rsid w:val="00D75DB5"/>
    <w:rsid w:val="00D76044"/>
    <w:rsid w:val="00D76252"/>
    <w:rsid w:val="00D76FA5"/>
    <w:rsid w:val="00D772FF"/>
    <w:rsid w:val="00D773B6"/>
    <w:rsid w:val="00D773C9"/>
    <w:rsid w:val="00D779F2"/>
    <w:rsid w:val="00D77E08"/>
    <w:rsid w:val="00D80296"/>
    <w:rsid w:val="00D80957"/>
    <w:rsid w:val="00D8225A"/>
    <w:rsid w:val="00D82979"/>
    <w:rsid w:val="00D83070"/>
    <w:rsid w:val="00D83530"/>
    <w:rsid w:val="00D83B8F"/>
    <w:rsid w:val="00D83F81"/>
    <w:rsid w:val="00D84B0A"/>
    <w:rsid w:val="00D84C1C"/>
    <w:rsid w:val="00D873F5"/>
    <w:rsid w:val="00D9046A"/>
    <w:rsid w:val="00D90D68"/>
    <w:rsid w:val="00D93863"/>
    <w:rsid w:val="00D94EB9"/>
    <w:rsid w:val="00D95397"/>
    <w:rsid w:val="00D95407"/>
    <w:rsid w:val="00D96404"/>
    <w:rsid w:val="00D96D78"/>
    <w:rsid w:val="00D96D79"/>
    <w:rsid w:val="00D96E32"/>
    <w:rsid w:val="00D970C9"/>
    <w:rsid w:val="00DA093C"/>
    <w:rsid w:val="00DA18AF"/>
    <w:rsid w:val="00DA2A67"/>
    <w:rsid w:val="00DA2AFB"/>
    <w:rsid w:val="00DA4131"/>
    <w:rsid w:val="00DA4A8F"/>
    <w:rsid w:val="00DA4BD8"/>
    <w:rsid w:val="00DA5940"/>
    <w:rsid w:val="00DB0054"/>
    <w:rsid w:val="00DB0B80"/>
    <w:rsid w:val="00DB168B"/>
    <w:rsid w:val="00DB2D6A"/>
    <w:rsid w:val="00DB3AC9"/>
    <w:rsid w:val="00DB4BC4"/>
    <w:rsid w:val="00DB64FF"/>
    <w:rsid w:val="00DB7212"/>
    <w:rsid w:val="00DB7BAB"/>
    <w:rsid w:val="00DC023B"/>
    <w:rsid w:val="00DC0450"/>
    <w:rsid w:val="00DC0BBF"/>
    <w:rsid w:val="00DC10EC"/>
    <w:rsid w:val="00DC2105"/>
    <w:rsid w:val="00DC2B69"/>
    <w:rsid w:val="00DC3938"/>
    <w:rsid w:val="00DC403C"/>
    <w:rsid w:val="00DC486E"/>
    <w:rsid w:val="00DC5DCE"/>
    <w:rsid w:val="00DC6775"/>
    <w:rsid w:val="00DC6A35"/>
    <w:rsid w:val="00DC6FAB"/>
    <w:rsid w:val="00DC7028"/>
    <w:rsid w:val="00DC7768"/>
    <w:rsid w:val="00DC7DC5"/>
    <w:rsid w:val="00DD0022"/>
    <w:rsid w:val="00DD1B23"/>
    <w:rsid w:val="00DD4210"/>
    <w:rsid w:val="00DD4E34"/>
    <w:rsid w:val="00DD4F11"/>
    <w:rsid w:val="00DD4F49"/>
    <w:rsid w:val="00DD50E2"/>
    <w:rsid w:val="00DD52F5"/>
    <w:rsid w:val="00DD6771"/>
    <w:rsid w:val="00DD6C90"/>
    <w:rsid w:val="00DD7CC3"/>
    <w:rsid w:val="00DE0194"/>
    <w:rsid w:val="00DE10CA"/>
    <w:rsid w:val="00DE16D6"/>
    <w:rsid w:val="00DE1ED3"/>
    <w:rsid w:val="00DE2013"/>
    <w:rsid w:val="00DE22C2"/>
    <w:rsid w:val="00DE2493"/>
    <w:rsid w:val="00DE2879"/>
    <w:rsid w:val="00DE2DBB"/>
    <w:rsid w:val="00DE2F75"/>
    <w:rsid w:val="00DE3053"/>
    <w:rsid w:val="00DE30BC"/>
    <w:rsid w:val="00DE489B"/>
    <w:rsid w:val="00DE48DE"/>
    <w:rsid w:val="00DE55D8"/>
    <w:rsid w:val="00DE5789"/>
    <w:rsid w:val="00DE6C11"/>
    <w:rsid w:val="00DE708E"/>
    <w:rsid w:val="00DE78A1"/>
    <w:rsid w:val="00DF1114"/>
    <w:rsid w:val="00DF1D6C"/>
    <w:rsid w:val="00DF2079"/>
    <w:rsid w:val="00DF2ACF"/>
    <w:rsid w:val="00DF30F6"/>
    <w:rsid w:val="00DF46B6"/>
    <w:rsid w:val="00DF57FD"/>
    <w:rsid w:val="00DF58D0"/>
    <w:rsid w:val="00DF6463"/>
    <w:rsid w:val="00DF6851"/>
    <w:rsid w:val="00DF695C"/>
    <w:rsid w:val="00DF6BAA"/>
    <w:rsid w:val="00DF7495"/>
    <w:rsid w:val="00DF7505"/>
    <w:rsid w:val="00DF7BA1"/>
    <w:rsid w:val="00E0022F"/>
    <w:rsid w:val="00E005F1"/>
    <w:rsid w:val="00E00C13"/>
    <w:rsid w:val="00E00E04"/>
    <w:rsid w:val="00E0126F"/>
    <w:rsid w:val="00E01412"/>
    <w:rsid w:val="00E01E0D"/>
    <w:rsid w:val="00E01E51"/>
    <w:rsid w:val="00E02102"/>
    <w:rsid w:val="00E026D8"/>
    <w:rsid w:val="00E0277A"/>
    <w:rsid w:val="00E02A74"/>
    <w:rsid w:val="00E03A80"/>
    <w:rsid w:val="00E03CFE"/>
    <w:rsid w:val="00E03F50"/>
    <w:rsid w:val="00E05E25"/>
    <w:rsid w:val="00E063CC"/>
    <w:rsid w:val="00E07520"/>
    <w:rsid w:val="00E077F5"/>
    <w:rsid w:val="00E07804"/>
    <w:rsid w:val="00E07AEE"/>
    <w:rsid w:val="00E107D4"/>
    <w:rsid w:val="00E10F37"/>
    <w:rsid w:val="00E12AA2"/>
    <w:rsid w:val="00E12C34"/>
    <w:rsid w:val="00E12E43"/>
    <w:rsid w:val="00E1344A"/>
    <w:rsid w:val="00E13A81"/>
    <w:rsid w:val="00E142D9"/>
    <w:rsid w:val="00E1645B"/>
    <w:rsid w:val="00E175BD"/>
    <w:rsid w:val="00E178FB"/>
    <w:rsid w:val="00E2003D"/>
    <w:rsid w:val="00E20294"/>
    <w:rsid w:val="00E213BD"/>
    <w:rsid w:val="00E213F0"/>
    <w:rsid w:val="00E223B4"/>
    <w:rsid w:val="00E23114"/>
    <w:rsid w:val="00E23685"/>
    <w:rsid w:val="00E24ED4"/>
    <w:rsid w:val="00E2525C"/>
    <w:rsid w:val="00E25877"/>
    <w:rsid w:val="00E27F7A"/>
    <w:rsid w:val="00E30443"/>
    <w:rsid w:val="00E314EC"/>
    <w:rsid w:val="00E33140"/>
    <w:rsid w:val="00E337E7"/>
    <w:rsid w:val="00E3418D"/>
    <w:rsid w:val="00E346B2"/>
    <w:rsid w:val="00E34C35"/>
    <w:rsid w:val="00E34CB6"/>
    <w:rsid w:val="00E36497"/>
    <w:rsid w:val="00E3680B"/>
    <w:rsid w:val="00E36923"/>
    <w:rsid w:val="00E37AF9"/>
    <w:rsid w:val="00E4087E"/>
    <w:rsid w:val="00E41532"/>
    <w:rsid w:val="00E4198B"/>
    <w:rsid w:val="00E42A0B"/>
    <w:rsid w:val="00E44468"/>
    <w:rsid w:val="00E44B66"/>
    <w:rsid w:val="00E46012"/>
    <w:rsid w:val="00E4751E"/>
    <w:rsid w:val="00E53790"/>
    <w:rsid w:val="00E53924"/>
    <w:rsid w:val="00E54AFF"/>
    <w:rsid w:val="00E54BAC"/>
    <w:rsid w:val="00E56A39"/>
    <w:rsid w:val="00E6080D"/>
    <w:rsid w:val="00E63128"/>
    <w:rsid w:val="00E63208"/>
    <w:rsid w:val="00E6431D"/>
    <w:rsid w:val="00E643A8"/>
    <w:rsid w:val="00E647EF"/>
    <w:rsid w:val="00E654F6"/>
    <w:rsid w:val="00E65A1E"/>
    <w:rsid w:val="00E66220"/>
    <w:rsid w:val="00E6623B"/>
    <w:rsid w:val="00E67BE8"/>
    <w:rsid w:val="00E703D1"/>
    <w:rsid w:val="00E71720"/>
    <w:rsid w:val="00E71BCD"/>
    <w:rsid w:val="00E73A34"/>
    <w:rsid w:val="00E73AAF"/>
    <w:rsid w:val="00E73D26"/>
    <w:rsid w:val="00E75063"/>
    <w:rsid w:val="00E75545"/>
    <w:rsid w:val="00E75806"/>
    <w:rsid w:val="00E759E7"/>
    <w:rsid w:val="00E7664B"/>
    <w:rsid w:val="00E769CA"/>
    <w:rsid w:val="00E776F7"/>
    <w:rsid w:val="00E77957"/>
    <w:rsid w:val="00E800FF"/>
    <w:rsid w:val="00E806D0"/>
    <w:rsid w:val="00E8120B"/>
    <w:rsid w:val="00E81297"/>
    <w:rsid w:val="00E81A74"/>
    <w:rsid w:val="00E820AE"/>
    <w:rsid w:val="00E84341"/>
    <w:rsid w:val="00E84C4B"/>
    <w:rsid w:val="00E85D5C"/>
    <w:rsid w:val="00E86067"/>
    <w:rsid w:val="00E8648A"/>
    <w:rsid w:val="00E86B9F"/>
    <w:rsid w:val="00E87543"/>
    <w:rsid w:val="00E877D3"/>
    <w:rsid w:val="00E9095A"/>
    <w:rsid w:val="00E90F82"/>
    <w:rsid w:val="00E9155C"/>
    <w:rsid w:val="00E91E24"/>
    <w:rsid w:val="00E92B98"/>
    <w:rsid w:val="00E933CE"/>
    <w:rsid w:val="00E9411E"/>
    <w:rsid w:val="00E947EF"/>
    <w:rsid w:val="00E95330"/>
    <w:rsid w:val="00E95713"/>
    <w:rsid w:val="00E95968"/>
    <w:rsid w:val="00E95EDC"/>
    <w:rsid w:val="00E97BE6"/>
    <w:rsid w:val="00EA22BD"/>
    <w:rsid w:val="00EA3008"/>
    <w:rsid w:val="00EA39B9"/>
    <w:rsid w:val="00EA5469"/>
    <w:rsid w:val="00EA56F7"/>
    <w:rsid w:val="00EA62C3"/>
    <w:rsid w:val="00EA7AD1"/>
    <w:rsid w:val="00EB0A7F"/>
    <w:rsid w:val="00EB0CA3"/>
    <w:rsid w:val="00EB0D04"/>
    <w:rsid w:val="00EB11DF"/>
    <w:rsid w:val="00EB1D73"/>
    <w:rsid w:val="00EB1E44"/>
    <w:rsid w:val="00EB1F14"/>
    <w:rsid w:val="00EB2A69"/>
    <w:rsid w:val="00EB41C5"/>
    <w:rsid w:val="00EB4262"/>
    <w:rsid w:val="00EB44AB"/>
    <w:rsid w:val="00EB45C2"/>
    <w:rsid w:val="00EB45C6"/>
    <w:rsid w:val="00EB642A"/>
    <w:rsid w:val="00EB66F3"/>
    <w:rsid w:val="00EB77ED"/>
    <w:rsid w:val="00EB7A37"/>
    <w:rsid w:val="00EC05FF"/>
    <w:rsid w:val="00EC0A9A"/>
    <w:rsid w:val="00EC134C"/>
    <w:rsid w:val="00EC203B"/>
    <w:rsid w:val="00EC243F"/>
    <w:rsid w:val="00EC4CDD"/>
    <w:rsid w:val="00EC4D4E"/>
    <w:rsid w:val="00EC659C"/>
    <w:rsid w:val="00EC66A8"/>
    <w:rsid w:val="00EC6782"/>
    <w:rsid w:val="00ED00DC"/>
    <w:rsid w:val="00ED1268"/>
    <w:rsid w:val="00ED2BE8"/>
    <w:rsid w:val="00ED4650"/>
    <w:rsid w:val="00ED690F"/>
    <w:rsid w:val="00ED7E5D"/>
    <w:rsid w:val="00EE0289"/>
    <w:rsid w:val="00EE080A"/>
    <w:rsid w:val="00EE0D5F"/>
    <w:rsid w:val="00EE0DF9"/>
    <w:rsid w:val="00EE1C34"/>
    <w:rsid w:val="00EE1C7C"/>
    <w:rsid w:val="00EE256A"/>
    <w:rsid w:val="00EE2BF0"/>
    <w:rsid w:val="00EE34EA"/>
    <w:rsid w:val="00EE3B06"/>
    <w:rsid w:val="00EE4794"/>
    <w:rsid w:val="00EE4E8B"/>
    <w:rsid w:val="00EE5975"/>
    <w:rsid w:val="00EE64FF"/>
    <w:rsid w:val="00EE6653"/>
    <w:rsid w:val="00EF0862"/>
    <w:rsid w:val="00EF0AF7"/>
    <w:rsid w:val="00EF1F93"/>
    <w:rsid w:val="00EF3371"/>
    <w:rsid w:val="00EF34BC"/>
    <w:rsid w:val="00EF38D7"/>
    <w:rsid w:val="00EF53B8"/>
    <w:rsid w:val="00EF55BF"/>
    <w:rsid w:val="00EF5919"/>
    <w:rsid w:val="00EF6055"/>
    <w:rsid w:val="00EF6F3D"/>
    <w:rsid w:val="00EF72B0"/>
    <w:rsid w:val="00F0039D"/>
    <w:rsid w:val="00F011F9"/>
    <w:rsid w:val="00F01CB1"/>
    <w:rsid w:val="00F01E1A"/>
    <w:rsid w:val="00F02630"/>
    <w:rsid w:val="00F04551"/>
    <w:rsid w:val="00F04A71"/>
    <w:rsid w:val="00F05349"/>
    <w:rsid w:val="00F06602"/>
    <w:rsid w:val="00F10C71"/>
    <w:rsid w:val="00F10FEB"/>
    <w:rsid w:val="00F128A2"/>
    <w:rsid w:val="00F12A19"/>
    <w:rsid w:val="00F12FD0"/>
    <w:rsid w:val="00F13FED"/>
    <w:rsid w:val="00F151D4"/>
    <w:rsid w:val="00F15607"/>
    <w:rsid w:val="00F17A7C"/>
    <w:rsid w:val="00F200F9"/>
    <w:rsid w:val="00F22AD8"/>
    <w:rsid w:val="00F25896"/>
    <w:rsid w:val="00F25B29"/>
    <w:rsid w:val="00F26825"/>
    <w:rsid w:val="00F26D20"/>
    <w:rsid w:val="00F26F38"/>
    <w:rsid w:val="00F315E1"/>
    <w:rsid w:val="00F31E63"/>
    <w:rsid w:val="00F32027"/>
    <w:rsid w:val="00F321F9"/>
    <w:rsid w:val="00F3297D"/>
    <w:rsid w:val="00F33A61"/>
    <w:rsid w:val="00F347AD"/>
    <w:rsid w:val="00F357CD"/>
    <w:rsid w:val="00F35840"/>
    <w:rsid w:val="00F405AA"/>
    <w:rsid w:val="00F411DF"/>
    <w:rsid w:val="00F42541"/>
    <w:rsid w:val="00F42561"/>
    <w:rsid w:val="00F43965"/>
    <w:rsid w:val="00F445F9"/>
    <w:rsid w:val="00F44674"/>
    <w:rsid w:val="00F44D48"/>
    <w:rsid w:val="00F45266"/>
    <w:rsid w:val="00F4577A"/>
    <w:rsid w:val="00F45DA6"/>
    <w:rsid w:val="00F4627F"/>
    <w:rsid w:val="00F4733E"/>
    <w:rsid w:val="00F5143E"/>
    <w:rsid w:val="00F5269E"/>
    <w:rsid w:val="00F5397D"/>
    <w:rsid w:val="00F54189"/>
    <w:rsid w:val="00F56770"/>
    <w:rsid w:val="00F57569"/>
    <w:rsid w:val="00F57731"/>
    <w:rsid w:val="00F579E4"/>
    <w:rsid w:val="00F57FF6"/>
    <w:rsid w:val="00F60143"/>
    <w:rsid w:val="00F60505"/>
    <w:rsid w:val="00F6103B"/>
    <w:rsid w:val="00F612CC"/>
    <w:rsid w:val="00F61921"/>
    <w:rsid w:val="00F61FF2"/>
    <w:rsid w:val="00F6327B"/>
    <w:rsid w:val="00F6433C"/>
    <w:rsid w:val="00F64402"/>
    <w:rsid w:val="00F64B3D"/>
    <w:rsid w:val="00F64E64"/>
    <w:rsid w:val="00F65715"/>
    <w:rsid w:val="00F6696B"/>
    <w:rsid w:val="00F7044C"/>
    <w:rsid w:val="00F71077"/>
    <w:rsid w:val="00F72165"/>
    <w:rsid w:val="00F74DE5"/>
    <w:rsid w:val="00F7680F"/>
    <w:rsid w:val="00F76C89"/>
    <w:rsid w:val="00F76D8F"/>
    <w:rsid w:val="00F771B5"/>
    <w:rsid w:val="00F8031C"/>
    <w:rsid w:val="00F81C89"/>
    <w:rsid w:val="00F81DD6"/>
    <w:rsid w:val="00F82C2A"/>
    <w:rsid w:val="00F82E9F"/>
    <w:rsid w:val="00F8313E"/>
    <w:rsid w:val="00F8413F"/>
    <w:rsid w:val="00F84186"/>
    <w:rsid w:val="00F843DD"/>
    <w:rsid w:val="00F851CA"/>
    <w:rsid w:val="00F853A4"/>
    <w:rsid w:val="00F86398"/>
    <w:rsid w:val="00F86788"/>
    <w:rsid w:val="00F86793"/>
    <w:rsid w:val="00F9149A"/>
    <w:rsid w:val="00F91A4A"/>
    <w:rsid w:val="00F92034"/>
    <w:rsid w:val="00F922EE"/>
    <w:rsid w:val="00F92965"/>
    <w:rsid w:val="00F92A36"/>
    <w:rsid w:val="00F94625"/>
    <w:rsid w:val="00F949AD"/>
    <w:rsid w:val="00F9626E"/>
    <w:rsid w:val="00F9668E"/>
    <w:rsid w:val="00F97417"/>
    <w:rsid w:val="00FA0471"/>
    <w:rsid w:val="00FA0612"/>
    <w:rsid w:val="00FA350C"/>
    <w:rsid w:val="00FA38AA"/>
    <w:rsid w:val="00FA3B1B"/>
    <w:rsid w:val="00FA42A8"/>
    <w:rsid w:val="00FA470B"/>
    <w:rsid w:val="00FA53FD"/>
    <w:rsid w:val="00FA5B88"/>
    <w:rsid w:val="00FA6249"/>
    <w:rsid w:val="00FA62F0"/>
    <w:rsid w:val="00FA68FA"/>
    <w:rsid w:val="00FA6CE8"/>
    <w:rsid w:val="00FA6D96"/>
    <w:rsid w:val="00FA7370"/>
    <w:rsid w:val="00FA76E3"/>
    <w:rsid w:val="00FB0F54"/>
    <w:rsid w:val="00FB1633"/>
    <w:rsid w:val="00FB1882"/>
    <w:rsid w:val="00FB1AA8"/>
    <w:rsid w:val="00FB32B3"/>
    <w:rsid w:val="00FB3967"/>
    <w:rsid w:val="00FB48BF"/>
    <w:rsid w:val="00FB4DED"/>
    <w:rsid w:val="00FB5E04"/>
    <w:rsid w:val="00FB5E70"/>
    <w:rsid w:val="00FB71A4"/>
    <w:rsid w:val="00FB75FC"/>
    <w:rsid w:val="00FB7751"/>
    <w:rsid w:val="00FC0A08"/>
    <w:rsid w:val="00FC0AD6"/>
    <w:rsid w:val="00FC0CE9"/>
    <w:rsid w:val="00FC0D8D"/>
    <w:rsid w:val="00FC150B"/>
    <w:rsid w:val="00FC253E"/>
    <w:rsid w:val="00FC5D1C"/>
    <w:rsid w:val="00FC614A"/>
    <w:rsid w:val="00FC6722"/>
    <w:rsid w:val="00FC7399"/>
    <w:rsid w:val="00FD02E3"/>
    <w:rsid w:val="00FD12BF"/>
    <w:rsid w:val="00FD1BAC"/>
    <w:rsid w:val="00FD1EC9"/>
    <w:rsid w:val="00FD2EB5"/>
    <w:rsid w:val="00FD2F6B"/>
    <w:rsid w:val="00FD3A65"/>
    <w:rsid w:val="00FD40AB"/>
    <w:rsid w:val="00FD41A7"/>
    <w:rsid w:val="00FD49A5"/>
    <w:rsid w:val="00FD4B4C"/>
    <w:rsid w:val="00FD510B"/>
    <w:rsid w:val="00FD57D8"/>
    <w:rsid w:val="00FD5D97"/>
    <w:rsid w:val="00FE0888"/>
    <w:rsid w:val="00FE135B"/>
    <w:rsid w:val="00FE23C9"/>
    <w:rsid w:val="00FE27E4"/>
    <w:rsid w:val="00FE39AA"/>
    <w:rsid w:val="00FE3F61"/>
    <w:rsid w:val="00FE4728"/>
    <w:rsid w:val="00FE5342"/>
    <w:rsid w:val="00FE5582"/>
    <w:rsid w:val="00FE63B5"/>
    <w:rsid w:val="00FF0C73"/>
    <w:rsid w:val="00FF233E"/>
    <w:rsid w:val="00FF2C3A"/>
    <w:rsid w:val="00FF3258"/>
    <w:rsid w:val="00FF5CD9"/>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14:docId w14:val="40D81737"/>
  <w15:docId w15:val="{8522F735-A5A0-41C0-8006-2AF61F33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90B"/>
    <w:pPr>
      <w:spacing w:before="120" w:after="120"/>
    </w:pPr>
    <w:rPr>
      <w:sz w:val="22"/>
      <w:szCs w:val="22"/>
    </w:rPr>
  </w:style>
  <w:style w:type="paragraph" w:styleId="Heading1">
    <w:name w:val="heading 1"/>
    <w:basedOn w:val="Normal"/>
    <w:next w:val="LRWLBodyText"/>
    <w:link w:val="Heading1Char"/>
    <w:qFormat/>
    <w:rsid w:val="00902AC4"/>
    <w:pPr>
      <w:keepNext/>
      <w:numPr>
        <w:numId w:val="6"/>
      </w:numPr>
      <w:spacing w:before="360"/>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qFormat/>
    <w:rsid w:val="00C24B6B"/>
    <w:pPr>
      <w:numPr>
        <w:ilvl w:val="1"/>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867F7F"/>
    <w:pPr>
      <w:keepNext/>
      <w:numPr>
        <w:ilvl w:val="2"/>
        <w:numId w:val="6"/>
      </w:numPr>
      <w:tabs>
        <w:tab w:val="clear" w:pos="2610"/>
        <w:tab w:val="num" w:pos="900"/>
        <w:tab w:val="num" w:pos="990"/>
      </w:tabs>
      <w:spacing w:before="360" w:after="180"/>
      <w:ind w:left="990"/>
      <w:outlineLvl w:val="2"/>
    </w:pPr>
    <w:rPr>
      <w:rFonts w:ascii="Arial" w:hAnsi="Arial" w:cs="Arial"/>
      <w:b/>
      <w:bCs/>
      <w:color w:val="1F497D" w:themeColor="text2"/>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WLBodyText">
    <w:name w:val="LRWL Body Text"/>
    <w:basedOn w:val="Normal"/>
    <w:link w:val="LRWLBodyTextChar"/>
    <w:qFormat/>
    <w:rsid w:val="00E67BE8"/>
    <w:rPr>
      <w:rFonts w:ascii="Arial" w:hAnsi="Arial"/>
    </w:rPr>
  </w:style>
  <w:style w:type="character" w:customStyle="1" w:styleId="LRWLBodyTextChar">
    <w:name w:val="LRWL Body Text Char"/>
    <w:basedOn w:val="DefaultParagraphFont"/>
    <w:link w:val="LRWLBodyText"/>
    <w:rsid w:val="00E67BE8"/>
    <w:rPr>
      <w:rFonts w:ascii="Arial" w:hAnsi="Arial"/>
      <w:sz w:val="22"/>
      <w:szCs w:val="22"/>
    </w:rPr>
  </w:style>
  <w:style w:type="character" w:customStyle="1" w:styleId="Heading1Char">
    <w:name w:val="Heading 1 Char"/>
    <w:basedOn w:val="DefaultParagraphFont"/>
    <w:link w:val="Heading1"/>
    <w:rsid w:val="00902AC4"/>
    <w:rPr>
      <w:rFonts w:ascii="Arial Bold" w:hAnsi="Arial Bold"/>
      <w:b/>
      <w:bCs/>
      <w:caps/>
      <w:color w:val="1F497D" w:themeColor="text2"/>
      <w:sz w:val="32"/>
      <w:szCs w:val="24"/>
    </w:rPr>
  </w:style>
  <w:style w:type="character" w:customStyle="1" w:styleId="Heading2Char">
    <w:name w:val="Heading 2 Char"/>
    <w:basedOn w:val="DefaultParagraphFont"/>
    <w:link w:val="Heading2"/>
    <w:rsid w:val="00C24B6B"/>
    <w:rPr>
      <w:rFonts w:ascii="Arial Bold" w:hAnsi="Arial Bold" w:cs="Arial"/>
      <w:b/>
      <w:iCs/>
      <w:smallCaps/>
      <w:color w:val="1F497D" w:themeColor="text2"/>
      <w:sz w:val="28"/>
      <w:szCs w:val="28"/>
    </w:rPr>
  </w:style>
  <w:style w:type="character" w:customStyle="1" w:styleId="Heading3Char">
    <w:name w:val="Heading 3 Char"/>
    <w:basedOn w:val="DefaultParagraphFont"/>
    <w:link w:val="Heading3"/>
    <w:rsid w:val="00515CC1"/>
    <w:rPr>
      <w:rFonts w:ascii="Arial" w:hAnsi="Arial" w:cs="Arial"/>
      <w:b/>
      <w:bCs/>
      <w:color w:val="1F497D" w:themeColor="text2"/>
      <w:sz w:val="26"/>
      <w:szCs w:val="26"/>
    </w:r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ascii="Arial" w:hAnsi="Arial" w:cs="Arial"/>
      <w:color w:val="000000"/>
      <w:sz w:val="20"/>
      <w:szCs w:val="20"/>
    </w:rPr>
  </w:style>
  <w:style w:type="paragraph" w:styleId="Header">
    <w:name w:val="header"/>
    <w:basedOn w:val="Normal"/>
    <w:rsid w:val="00186884"/>
    <w:pPr>
      <w:tabs>
        <w:tab w:val="center" w:pos="4320"/>
        <w:tab w:val="right" w:pos="8640"/>
      </w:tabs>
    </w:pPr>
    <w:rPr>
      <w:szCs w:val="24"/>
    </w:rPr>
  </w:style>
  <w:style w:type="paragraph" w:styleId="Footer">
    <w:name w:val="footer"/>
    <w:basedOn w:val="Normal"/>
    <w:link w:val="FooterChar"/>
    <w:uiPriority w:val="99"/>
    <w:rsid w:val="00186884"/>
    <w:pPr>
      <w:tabs>
        <w:tab w:val="center" w:pos="4320"/>
        <w:tab w:val="right" w:pos="8640"/>
      </w:tabs>
    </w:pPr>
    <w:rPr>
      <w:szCs w:val="24"/>
    </w:rPr>
  </w:style>
  <w:style w:type="table" w:styleId="TableGrid">
    <w:name w:val="Table Grid"/>
    <w:basedOn w:val="TableNormal"/>
    <w:uiPriority w:val="3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BodyText1Bullet">
    <w:name w:val="Body Text 1 Bullet"/>
    <w:basedOn w:val="Normal"/>
    <w:rsid w:val="003E5634"/>
    <w:pPr>
      <w:tabs>
        <w:tab w:val="num" w:pos="1440"/>
      </w:tabs>
      <w:ind w:left="1440" w:hanging="360"/>
    </w:pPr>
    <w:rPr>
      <w:szCs w:val="24"/>
    </w:rPr>
  </w:style>
  <w:style w:type="paragraph" w:customStyle="1" w:styleId="NormalSub-Bulleted">
    <w:name w:val="Normal Sub-Bulleted"/>
    <w:basedOn w:val="NormalBulleted"/>
    <w:rsid w:val="008C617B"/>
    <w:pPr>
      <w:numPr>
        <w:numId w:val="1"/>
      </w:numPr>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character" w:customStyle="1" w:styleId="BodyTextChar">
    <w:name w:val="Body Text Char"/>
    <w:basedOn w:val="DefaultParagraphFont"/>
    <w:link w:val="BodyText"/>
    <w:rsid w:val="000B01D6"/>
    <w:rPr>
      <w:sz w:val="22"/>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character" w:customStyle="1" w:styleId="CaptionChar">
    <w:name w:val="Caption Char"/>
    <w:basedOn w:val="DefaultParagraphFont"/>
    <w:link w:val="Caption"/>
    <w:rsid w:val="00A36DB3"/>
    <w:rPr>
      <w:b/>
      <w:bCs/>
      <w:i/>
    </w:rPr>
  </w:style>
  <w:style w:type="paragraph" w:styleId="TOC2">
    <w:name w:val="toc 2"/>
    <w:basedOn w:val="Normal"/>
    <w:uiPriority w:val="39"/>
    <w:qFormat/>
    <w:rsid w:val="00043EB8"/>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LRWLBodyTextBullet1">
    <w:name w:val="LRWL Body Text Bullet 1"/>
    <w:basedOn w:val="LRWLBodyText"/>
    <w:link w:val="LRWLBodyTextBullet1Char"/>
    <w:qFormat/>
    <w:rsid w:val="00E95968"/>
    <w:pPr>
      <w:numPr>
        <w:numId w:val="4"/>
      </w:numPr>
    </w:pPr>
  </w:style>
  <w:style w:type="character" w:customStyle="1" w:styleId="LRWLBodyTextBullet1Char">
    <w:name w:val="LRWL Body Text Bullet 1 Char"/>
    <w:basedOn w:val="LRWLBodyTextChar"/>
    <w:link w:val="LRWLBodyTextBullet1"/>
    <w:rsid w:val="00E95968"/>
    <w:rPr>
      <w:rFonts w:ascii="Arial" w:hAnsi="Arial"/>
      <w:sz w:val="22"/>
      <w:szCs w:val="22"/>
    </w:rPr>
  </w:style>
  <w:style w:type="paragraph" w:customStyle="1" w:styleId="LRWLBodyTextBullet2">
    <w:name w:val="LRWL Body Text Bullet 2"/>
    <w:basedOn w:val="Normal"/>
    <w:link w:val="LRWLBodyTextBullet2Char"/>
    <w:qFormat/>
    <w:rsid w:val="000540A1"/>
    <w:pPr>
      <w:numPr>
        <w:numId w:val="5"/>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TeamViewer11Host" w:hAnsi="TeamViewer11Host"/>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E87543"/>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043EB8"/>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uiPriority w:val="22"/>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TeamViewer11Host" w:hAnsi="TeamViewer11Host"/>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customStyle="1" w:styleId="Appdx2">
    <w:name w:val="Appdx 2"/>
    <w:basedOn w:val="Appendicies"/>
    <w:link w:val="Appdx2Char"/>
    <w:qFormat/>
    <w:rsid w:val="0084559E"/>
    <w:pPr>
      <w:jc w:val="center"/>
    </w:pPr>
    <w:rPr>
      <w:sz w:val="28"/>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QuoteChar">
    <w:name w:val="Quote Char"/>
    <w:basedOn w:val="DefaultParagraphFont"/>
    <w:link w:val="Quote"/>
    <w:uiPriority w:val="29"/>
    <w:rsid w:val="0084559E"/>
    <w:rPr>
      <w:i/>
      <w:iCs/>
      <w:color w:val="000000" w:themeColor="text1"/>
      <w:sz w:val="22"/>
      <w:szCs w:val="22"/>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7"/>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C56624"/>
    <w:pPr>
      <w:jc w:val="both"/>
    </w:pPr>
    <w:rPr>
      <w:rFonts w:ascii="Arial" w:hAnsi="Arial" w:cs="Arial"/>
      <w:szCs w:val="20"/>
    </w:rPr>
  </w:style>
  <w:style w:type="character" w:customStyle="1" w:styleId="ETFNormalChar">
    <w:name w:val="ETF Normal Char"/>
    <w:basedOn w:val="DefaultParagraphFont"/>
    <w:link w:val="ETFNormal"/>
    <w:rsid w:val="00C56624"/>
    <w:rPr>
      <w:rFonts w:ascii="Arial" w:hAnsi="Arial" w:cs="Arial"/>
      <w:sz w:val="22"/>
    </w:rPr>
  </w:style>
  <w:style w:type="character" w:styleId="FollowedHyperlink">
    <w:name w:val="FollowedHyperlink"/>
    <w:basedOn w:val="DefaultParagraphFont"/>
    <w:uiPriority w:val="99"/>
    <w:rsid w:val="001A5B40"/>
    <w:rPr>
      <w:color w:val="800080" w:themeColor="followedHyperlink"/>
      <w:u w:val="single"/>
    </w:rPr>
  </w:style>
  <w:style w:type="paragraph" w:customStyle="1" w:styleId="Default">
    <w:name w:val="Default"/>
    <w:rsid w:val="009D142F"/>
    <w:pPr>
      <w:autoSpaceDE w:val="0"/>
      <w:autoSpaceDN w:val="0"/>
      <w:adjustRightInd w:val="0"/>
    </w:pPr>
    <w:rPr>
      <w:rFonts w:ascii="Arial" w:hAnsi="Arial" w:cs="Arial"/>
      <w:color w:val="000000"/>
      <w:sz w:val="24"/>
      <w:szCs w:val="24"/>
    </w:rPr>
  </w:style>
  <w:style w:type="table" w:customStyle="1" w:styleId="GridTable5Dark-Accent11">
    <w:name w:val="Grid Table 5 Dark - Accent 11"/>
    <w:basedOn w:val="TableNormal"/>
    <w:uiPriority w:val="50"/>
    <w:rsid w:val="00E54A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Light1">
    <w:name w:val="Table Grid Light1"/>
    <w:basedOn w:val="TableNormal"/>
    <w:uiPriority w:val="40"/>
    <w:rsid w:val="00E54A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9D43FE"/>
    <w:pPr>
      <w:spacing w:before="60" w:after="60"/>
      <w:jc w:val="both"/>
    </w:pPr>
    <w:rPr>
      <w:sz w:val="20"/>
      <w:szCs w:val="20"/>
    </w:rPr>
  </w:style>
  <w:style w:type="paragraph" w:customStyle="1" w:styleId="LRWLTableHeader">
    <w:name w:val="LRWL Table Header"/>
    <w:basedOn w:val="Normal"/>
    <w:rsid w:val="009D43FE"/>
    <w:pPr>
      <w:keepNext/>
      <w:jc w:val="center"/>
    </w:pPr>
    <w:rPr>
      <w:rFonts w:ascii="Arial" w:hAnsi="Arial"/>
      <w:smallCaps/>
      <w:sz w:val="21"/>
    </w:rPr>
  </w:style>
  <w:style w:type="table" w:customStyle="1" w:styleId="GridTable5Dark-Accent12">
    <w:name w:val="Grid Table 5 Dark - Accent 12"/>
    <w:basedOn w:val="TableNormal"/>
    <w:uiPriority w:val="50"/>
    <w:rsid w:val="00E812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043EB8"/>
    <w:pPr>
      <w:spacing w:after="100"/>
      <w:ind w:left="660"/>
    </w:pPr>
    <w:rPr>
      <w:rFonts w:ascii="Arial" w:hAnsi="Arial"/>
    </w:rPr>
  </w:style>
  <w:style w:type="paragraph" w:styleId="TOC5">
    <w:name w:val="toc 5"/>
    <w:basedOn w:val="Normal"/>
    <w:next w:val="Normal"/>
    <w:autoRedefine/>
    <w:uiPriority w:val="39"/>
    <w:unhideWhenUsed/>
    <w:rsid w:val="00043EB8"/>
    <w:pPr>
      <w:spacing w:after="100"/>
      <w:ind w:left="880"/>
    </w:pPr>
    <w:rPr>
      <w:rFonts w:ascii="Arial" w:hAnsi="Arial"/>
    </w:rPr>
  </w:style>
  <w:style w:type="paragraph" w:styleId="List">
    <w:name w:val="List"/>
    <w:basedOn w:val="Normal"/>
    <w:link w:val="ListChar"/>
    <w:rsid w:val="00F151D4"/>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F151D4"/>
    <w:rPr>
      <w:rFonts w:ascii="CG Times" w:hAnsi="CG Times" w:cs="Arial"/>
    </w:rPr>
  </w:style>
  <w:style w:type="paragraph" w:styleId="TOC6">
    <w:name w:val="toc 6"/>
    <w:basedOn w:val="Normal"/>
    <w:next w:val="Normal"/>
    <w:autoRedefine/>
    <w:uiPriority w:val="39"/>
    <w:unhideWhenUsed/>
    <w:rsid w:val="00E87543"/>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87543"/>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87543"/>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87543"/>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5A62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9726B9"/>
    <w:pPr>
      <w:spacing w:before="60"/>
    </w:pPr>
    <w:rPr>
      <w:rFonts w:ascii="Arial" w:hAnsi="Arial"/>
      <w:b/>
      <w:spacing w:val="8"/>
      <w:szCs w:val="20"/>
    </w:rPr>
  </w:style>
  <w:style w:type="paragraph" w:styleId="PlainText">
    <w:name w:val="Plain Text"/>
    <w:basedOn w:val="Normal"/>
    <w:link w:val="PlainTextChar"/>
    <w:uiPriority w:val="99"/>
    <w:rsid w:val="009726B9"/>
    <w:pPr>
      <w:spacing w:before="0" w:after="0"/>
    </w:pPr>
    <w:rPr>
      <w:rFonts w:ascii="Arial" w:hAnsi="Arial"/>
      <w:szCs w:val="20"/>
    </w:rPr>
  </w:style>
  <w:style w:type="character" w:customStyle="1" w:styleId="PlainTextChar">
    <w:name w:val="Plain Text Char"/>
    <w:basedOn w:val="DefaultParagraphFont"/>
    <w:link w:val="PlainText"/>
    <w:uiPriority w:val="99"/>
    <w:rsid w:val="009726B9"/>
    <w:rPr>
      <w:rFonts w:ascii="Arial" w:hAnsi="Arial"/>
      <w:sz w:val="22"/>
    </w:rPr>
  </w:style>
  <w:style w:type="paragraph" w:customStyle="1" w:styleId="BAAETF">
    <w:name w:val="BAA ETF"/>
    <w:basedOn w:val="Normal"/>
    <w:link w:val="BAAETFChar"/>
    <w:qFormat/>
    <w:rsid w:val="00933708"/>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933708"/>
    <w:rPr>
      <w:rFonts w:ascii="Arial" w:hAnsi="Arial" w:cs="Arial"/>
      <w:b/>
      <w:sz w:val="22"/>
      <w:szCs w:val="22"/>
    </w:rPr>
  </w:style>
  <w:style w:type="paragraph" w:customStyle="1" w:styleId="PBMRFPSectionStyle">
    <w:name w:val="PBMRFP_SectionStyle"/>
    <w:basedOn w:val="Heading1"/>
    <w:qFormat/>
    <w:rsid w:val="00636D87"/>
    <w:pPr>
      <w:numPr>
        <w:numId w:val="9"/>
      </w:numPr>
      <w:spacing w:before="0" w:after="240"/>
    </w:pPr>
    <w:rPr>
      <w:rFonts w:ascii="Arial" w:hAnsi="Arial" w:cs="Arial"/>
      <w:bCs w:val="0"/>
      <w:caps w:val="0"/>
      <w:color w:val="auto"/>
      <w:sz w:val="28"/>
      <w:szCs w:val="28"/>
    </w:rPr>
  </w:style>
  <w:style w:type="paragraph" w:customStyle="1" w:styleId="PBMRFPPartStyle">
    <w:name w:val="PBMRFP_PartStyle"/>
    <w:basedOn w:val="Heading4"/>
    <w:qFormat/>
    <w:rsid w:val="00636D87"/>
    <w:pPr>
      <w:widowControl w:val="0"/>
      <w:numPr>
        <w:ilvl w:val="1"/>
        <w:numId w:val="9"/>
      </w:numPr>
      <w:spacing w:before="0"/>
    </w:pPr>
    <w:rPr>
      <w:rFonts w:ascii="Arial" w:hAnsi="Arial" w:cs="Arial"/>
      <w:bCs w:val="0"/>
      <w:i w:val="0"/>
      <w:snapToGrid w:val="0"/>
      <w:color w:val="auto"/>
      <w:sz w:val="22"/>
      <w:szCs w:val="22"/>
    </w:rPr>
  </w:style>
  <w:style w:type="paragraph" w:customStyle="1" w:styleId="PBMRFPQuestionStyle">
    <w:name w:val="PBMRFP_QuestionStyle"/>
    <w:basedOn w:val="Header"/>
    <w:qFormat/>
    <w:rsid w:val="00636D87"/>
    <w:pPr>
      <w:numPr>
        <w:ilvl w:val="2"/>
        <w:numId w:val="9"/>
      </w:num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qFormat/>
    <w:rsid w:val="00636D87"/>
    <w:pPr>
      <w:keepLines/>
      <w:numPr>
        <w:ilvl w:val="3"/>
        <w:numId w:val="9"/>
      </w:numPr>
      <w:tabs>
        <w:tab w:val="clear" w:pos="540"/>
        <w:tab w:val="clear" w:pos="9350"/>
      </w:tabs>
      <w:spacing w:before="0" w:after="120"/>
      <w:ind w:left="1080"/>
    </w:pPr>
    <w:rPr>
      <w:rFonts w:eastAsia="Times New Roman" w:cs="Arial"/>
      <w:caps w:val="0"/>
      <w:noProof w:val="0"/>
    </w:rPr>
  </w:style>
  <w:style w:type="paragraph" w:customStyle="1" w:styleId="PBMRFPiiiStyle">
    <w:name w:val="PBMRFP_iiiStyle"/>
    <w:basedOn w:val="ListParagraph"/>
    <w:qFormat/>
    <w:rsid w:val="00636D87"/>
    <w:pPr>
      <w:numPr>
        <w:ilvl w:val="4"/>
        <w:numId w:val="9"/>
      </w:numPr>
      <w:tabs>
        <w:tab w:val="clear" w:pos="540"/>
        <w:tab w:val="clear" w:pos="9350"/>
      </w:tabs>
      <w:spacing w:before="0" w:after="120"/>
      <w:ind w:left="1440"/>
    </w:pPr>
    <w:rPr>
      <w:rFonts w:eastAsia="Times New Roman" w:cs="Arial"/>
      <w:caps w:val="0"/>
      <w:noProof w:val="0"/>
    </w:rPr>
  </w:style>
  <w:style w:type="numbering" w:customStyle="1" w:styleId="NoList1">
    <w:name w:val="No List1"/>
    <w:next w:val="NoList"/>
    <w:uiPriority w:val="99"/>
    <w:semiHidden/>
    <w:unhideWhenUsed/>
    <w:rsid w:val="0085008C"/>
  </w:style>
  <w:style w:type="paragraph" w:customStyle="1" w:styleId="xl63">
    <w:name w:val="xl63"/>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customStyle="1" w:styleId="st">
    <w:name w:val="st"/>
    <w:basedOn w:val="DefaultParagraphFont"/>
    <w:rsid w:val="004E0B14"/>
  </w:style>
  <w:style w:type="character" w:customStyle="1" w:styleId="st1">
    <w:name w:val="st1"/>
    <w:basedOn w:val="DefaultParagraphFont"/>
    <w:rsid w:val="005B72E4"/>
  </w:style>
  <w:style w:type="numbering" w:customStyle="1" w:styleId="Style1">
    <w:name w:val="Style1"/>
    <w:uiPriority w:val="99"/>
    <w:rsid w:val="00212E41"/>
    <w:pPr>
      <w:numPr>
        <w:numId w:val="17"/>
      </w:numPr>
    </w:pPr>
  </w:style>
  <w:style w:type="character" w:customStyle="1" w:styleId="FooterChar">
    <w:name w:val="Footer Char"/>
    <w:basedOn w:val="DefaultParagraphFont"/>
    <w:link w:val="Footer"/>
    <w:uiPriority w:val="99"/>
    <w:rsid w:val="00411D92"/>
    <w:rPr>
      <w:sz w:val="22"/>
      <w:szCs w:val="24"/>
    </w:rPr>
  </w:style>
  <w:style w:type="character" w:customStyle="1" w:styleId="tgc">
    <w:name w:val="_tgc"/>
    <w:basedOn w:val="DefaultParagraphFont"/>
    <w:rsid w:val="002A3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4559">
      <w:bodyDiv w:val="1"/>
      <w:marLeft w:val="0"/>
      <w:marRight w:val="0"/>
      <w:marTop w:val="0"/>
      <w:marBottom w:val="0"/>
      <w:divBdr>
        <w:top w:val="none" w:sz="0" w:space="0" w:color="auto"/>
        <w:left w:val="none" w:sz="0" w:space="0" w:color="auto"/>
        <w:bottom w:val="none" w:sz="0" w:space="0" w:color="auto"/>
        <w:right w:val="none" w:sz="0" w:space="0" w:color="auto"/>
      </w:divBdr>
    </w:div>
    <w:div w:id="160893644">
      <w:bodyDiv w:val="1"/>
      <w:marLeft w:val="0"/>
      <w:marRight w:val="0"/>
      <w:marTop w:val="0"/>
      <w:marBottom w:val="0"/>
      <w:divBdr>
        <w:top w:val="none" w:sz="0" w:space="0" w:color="auto"/>
        <w:left w:val="none" w:sz="0" w:space="0" w:color="auto"/>
        <w:bottom w:val="none" w:sz="0" w:space="0" w:color="auto"/>
        <w:right w:val="none" w:sz="0" w:space="0" w:color="auto"/>
      </w:divBdr>
    </w:div>
    <w:div w:id="162938651">
      <w:bodyDiv w:val="1"/>
      <w:marLeft w:val="0"/>
      <w:marRight w:val="0"/>
      <w:marTop w:val="0"/>
      <w:marBottom w:val="0"/>
      <w:divBdr>
        <w:top w:val="none" w:sz="0" w:space="0" w:color="auto"/>
        <w:left w:val="none" w:sz="0" w:space="0" w:color="auto"/>
        <w:bottom w:val="none" w:sz="0" w:space="0" w:color="auto"/>
        <w:right w:val="none" w:sz="0" w:space="0" w:color="auto"/>
      </w:divBdr>
    </w:div>
    <w:div w:id="174928782">
      <w:bodyDiv w:val="1"/>
      <w:marLeft w:val="0"/>
      <w:marRight w:val="0"/>
      <w:marTop w:val="0"/>
      <w:marBottom w:val="0"/>
      <w:divBdr>
        <w:top w:val="none" w:sz="0" w:space="0" w:color="auto"/>
        <w:left w:val="none" w:sz="0" w:space="0" w:color="auto"/>
        <w:bottom w:val="none" w:sz="0" w:space="0" w:color="auto"/>
        <w:right w:val="none" w:sz="0" w:space="0" w:color="auto"/>
      </w:divBdr>
    </w:div>
    <w:div w:id="272131911">
      <w:bodyDiv w:val="1"/>
      <w:marLeft w:val="0"/>
      <w:marRight w:val="0"/>
      <w:marTop w:val="0"/>
      <w:marBottom w:val="0"/>
      <w:divBdr>
        <w:top w:val="none" w:sz="0" w:space="0" w:color="auto"/>
        <w:left w:val="none" w:sz="0" w:space="0" w:color="auto"/>
        <w:bottom w:val="none" w:sz="0" w:space="0" w:color="auto"/>
        <w:right w:val="none" w:sz="0" w:space="0" w:color="auto"/>
      </w:divBdr>
    </w:div>
    <w:div w:id="312685230">
      <w:bodyDiv w:val="1"/>
      <w:marLeft w:val="0"/>
      <w:marRight w:val="0"/>
      <w:marTop w:val="0"/>
      <w:marBottom w:val="0"/>
      <w:divBdr>
        <w:top w:val="none" w:sz="0" w:space="0" w:color="auto"/>
        <w:left w:val="none" w:sz="0" w:space="0" w:color="auto"/>
        <w:bottom w:val="none" w:sz="0" w:space="0" w:color="auto"/>
        <w:right w:val="none" w:sz="0" w:space="0" w:color="auto"/>
      </w:divBdr>
    </w:div>
    <w:div w:id="360670837">
      <w:bodyDiv w:val="1"/>
      <w:marLeft w:val="0"/>
      <w:marRight w:val="0"/>
      <w:marTop w:val="0"/>
      <w:marBottom w:val="0"/>
      <w:divBdr>
        <w:top w:val="none" w:sz="0" w:space="0" w:color="auto"/>
        <w:left w:val="none" w:sz="0" w:space="0" w:color="auto"/>
        <w:bottom w:val="none" w:sz="0" w:space="0" w:color="auto"/>
        <w:right w:val="none" w:sz="0" w:space="0" w:color="auto"/>
      </w:divBdr>
    </w:div>
    <w:div w:id="413673854">
      <w:bodyDiv w:val="1"/>
      <w:marLeft w:val="0"/>
      <w:marRight w:val="0"/>
      <w:marTop w:val="0"/>
      <w:marBottom w:val="0"/>
      <w:divBdr>
        <w:top w:val="none" w:sz="0" w:space="0" w:color="auto"/>
        <w:left w:val="none" w:sz="0" w:space="0" w:color="auto"/>
        <w:bottom w:val="none" w:sz="0" w:space="0" w:color="auto"/>
        <w:right w:val="none" w:sz="0" w:space="0" w:color="auto"/>
      </w:divBdr>
    </w:div>
    <w:div w:id="563029415">
      <w:bodyDiv w:val="1"/>
      <w:marLeft w:val="0"/>
      <w:marRight w:val="0"/>
      <w:marTop w:val="0"/>
      <w:marBottom w:val="0"/>
      <w:divBdr>
        <w:top w:val="none" w:sz="0" w:space="0" w:color="auto"/>
        <w:left w:val="none" w:sz="0" w:space="0" w:color="auto"/>
        <w:bottom w:val="none" w:sz="0" w:space="0" w:color="auto"/>
        <w:right w:val="none" w:sz="0" w:space="0" w:color="auto"/>
      </w:divBdr>
    </w:div>
    <w:div w:id="565074154">
      <w:bodyDiv w:val="1"/>
      <w:marLeft w:val="0"/>
      <w:marRight w:val="0"/>
      <w:marTop w:val="0"/>
      <w:marBottom w:val="0"/>
      <w:divBdr>
        <w:top w:val="none" w:sz="0" w:space="0" w:color="auto"/>
        <w:left w:val="none" w:sz="0" w:space="0" w:color="auto"/>
        <w:bottom w:val="none" w:sz="0" w:space="0" w:color="auto"/>
        <w:right w:val="none" w:sz="0" w:space="0" w:color="auto"/>
      </w:divBdr>
    </w:div>
    <w:div w:id="616761884">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689378110">
      <w:bodyDiv w:val="1"/>
      <w:marLeft w:val="0"/>
      <w:marRight w:val="0"/>
      <w:marTop w:val="0"/>
      <w:marBottom w:val="0"/>
      <w:divBdr>
        <w:top w:val="none" w:sz="0" w:space="0" w:color="auto"/>
        <w:left w:val="none" w:sz="0" w:space="0" w:color="auto"/>
        <w:bottom w:val="none" w:sz="0" w:space="0" w:color="auto"/>
        <w:right w:val="none" w:sz="0" w:space="0" w:color="auto"/>
      </w:divBdr>
    </w:div>
    <w:div w:id="741759910">
      <w:bodyDiv w:val="1"/>
      <w:marLeft w:val="0"/>
      <w:marRight w:val="0"/>
      <w:marTop w:val="0"/>
      <w:marBottom w:val="0"/>
      <w:divBdr>
        <w:top w:val="none" w:sz="0" w:space="0" w:color="auto"/>
        <w:left w:val="none" w:sz="0" w:space="0" w:color="auto"/>
        <w:bottom w:val="none" w:sz="0" w:space="0" w:color="auto"/>
        <w:right w:val="none" w:sz="0" w:space="0" w:color="auto"/>
      </w:divBdr>
    </w:div>
    <w:div w:id="830490918">
      <w:bodyDiv w:val="1"/>
      <w:marLeft w:val="0"/>
      <w:marRight w:val="0"/>
      <w:marTop w:val="0"/>
      <w:marBottom w:val="0"/>
      <w:divBdr>
        <w:top w:val="none" w:sz="0" w:space="0" w:color="auto"/>
        <w:left w:val="none" w:sz="0" w:space="0" w:color="auto"/>
        <w:bottom w:val="none" w:sz="0" w:space="0" w:color="auto"/>
        <w:right w:val="none" w:sz="0" w:space="0" w:color="auto"/>
      </w:divBdr>
    </w:div>
    <w:div w:id="872381688">
      <w:bodyDiv w:val="1"/>
      <w:marLeft w:val="0"/>
      <w:marRight w:val="0"/>
      <w:marTop w:val="0"/>
      <w:marBottom w:val="0"/>
      <w:divBdr>
        <w:top w:val="none" w:sz="0" w:space="0" w:color="auto"/>
        <w:left w:val="none" w:sz="0" w:space="0" w:color="auto"/>
        <w:bottom w:val="none" w:sz="0" w:space="0" w:color="auto"/>
        <w:right w:val="none" w:sz="0" w:space="0" w:color="auto"/>
      </w:divBdr>
    </w:div>
    <w:div w:id="923804612">
      <w:bodyDiv w:val="1"/>
      <w:marLeft w:val="0"/>
      <w:marRight w:val="0"/>
      <w:marTop w:val="0"/>
      <w:marBottom w:val="0"/>
      <w:divBdr>
        <w:top w:val="none" w:sz="0" w:space="0" w:color="auto"/>
        <w:left w:val="none" w:sz="0" w:space="0" w:color="auto"/>
        <w:bottom w:val="none" w:sz="0" w:space="0" w:color="auto"/>
        <w:right w:val="none" w:sz="0" w:space="0" w:color="auto"/>
      </w:divBdr>
    </w:div>
    <w:div w:id="1079711701">
      <w:bodyDiv w:val="1"/>
      <w:marLeft w:val="0"/>
      <w:marRight w:val="0"/>
      <w:marTop w:val="0"/>
      <w:marBottom w:val="0"/>
      <w:divBdr>
        <w:top w:val="none" w:sz="0" w:space="0" w:color="auto"/>
        <w:left w:val="none" w:sz="0" w:space="0" w:color="auto"/>
        <w:bottom w:val="none" w:sz="0" w:space="0" w:color="auto"/>
        <w:right w:val="none" w:sz="0" w:space="0" w:color="auto"/>
      </w:divBdr>
    </w:div>
    <w:div w:id="1108768282">
      <w:bodyDiv w:val="1"/>
      <w:marLeft w:val="0"/>
      <w:marRight w:val="0"/>
      <w:marTop w:val="0"/>
      <w:marBottom w:val="0"/>
      <w:divBdr>
        <w:top w:val="none" w:sz="0" w:space="0" w:color="auto"/>
        <w:left w:val="none" w:sz="0" w:space="0" w:color="auto"/>
        <w:bottom w:val="none" w:sz="0" w:space="0" w:color="auto"/>
        <w:right w:val="none" w:sz="0" w:space="0" w:color="auto"/>
      </w:divBdr>
    </w:div>
    <w:div w:id="1157652296">
      <w:bodyDiv w:val="1"/>
      <w:marLeft w:val="0"/>
      <w:marRight w:val="0"/>
      <w:marTop w:val="0"/>
      <w:marBottom w:val="0"/>
      <w:divBdr>
        <w:top w:val="none" w:sz="0" w:space="0" w:color="auto"/>
        <w:left w:val="none" w:sz="0" w:space="0" w:color="auto"/>
        <w:bottom w:val="none" w:sz="0" w:space="0" w:color="auto"/>
        <w:right w:val="none" w:sz="0" w:space="0" w:color="auto"/>
      </w:divBdr>
    </w:div>
    <w:div w:id="1191146985">
      <w:bodyDiv w:val="1"/>
      <w:marLeft w:val="0"/>
      <w:marRight w:val="0"/>
      <w:marTop w:val="0"/>
      <w:marBottom w:val="0"/>
      <w:divBdr>
        <w:top w:val="none" w:sz="0" w:space="0" w:color="auto"/>
        <w:left w:val="none" w:sz="0" w:space="0" w:color="auto"/>
        <w:bottom w:val="none" w:sz="0" w:space="0" w:color="auto"/>
        <w:right w:val="none" w:sz="0" w:space="0" w:color="auto"/>
      </w:divBdr>
    </w:div>
    <w:div w:id="1219779073">
      <w:bodyDiv w:val="1"/>
      <w:marLeft w:val="0"/>
      <w:marRight w:val="0"/>
      <w:marTop w:val="0"/>
      <w:marBottom w:val="0"/>
      <w:divBdr>
        <w:top w:val="none" w:sz="0" w:space="0" w:color="auto"/>
        <w:left w:val="none" w:sz="0" w:space="0" w:color="auto"/>
        <w:bottom w:val="none" w:sz="0" w:space="0" w:color="auto"/>
        <w:right w:val="none" w:sz="0" w:space="0" w:color="auto"/>
      </w:divBdr>
    </w:div>
    <w:div w:id="1245526780">
      <w:bodyDiv w:val="1"/>
      <w:marLeft w:val="0"/>
      <w:marRight w:val="0"/>
      <w:marTop w:val="0"/>
      <w:marBottom w:val="0"/>
      <w:divBdr>
        <w:top w:val="none" w:sz="0" w:space="0" w:color="auto"/>
        <w:left w:val="none" w:sz="0" w:space="0" w:color="auto"/>
        <w:bottom w:val="none" w:sz="0" w:space="0" w:color="auto"/>
        <w:right w:val="none" w:sz="0" w:space="0" w:color="auto"/>
      </w:divBdr>
    </w:div>
    <w:div w:id="125543124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335762533">
      <w:bodyDiv w:val="1"/>
      <w:marLeft w:val="0"/>
      <w:marRight w:val="0"/>
      <w:marTop w:val="0"/>
      <w:marBottom w:val="0"/>
      <w:divBdr>
        <w:top w:val="none" w:sz="0" w:space="0" w:color="auto"/>
        <w:left w:val="none" w:sz="0" w:space="0" w:color="auto"/>
        <w:bottom w:val="none" w:sz="0" w:space="0" w:color="auto"/>
        <w:right w:val="none" w:sz="0" w:space="0" w:color="auto"/>
      </w:divBdr>
    </w:div>
    <w:div w:id="1377923525">
      <w:bodyDiv w:val="1"/>
      <w:marLeft w:val="0"/>
      <w:marRight w:val="0"/>
      <w:marTop w:val="0"/>
      <w:marBottom w:val="0"/>
      <w:divBdr>
        <w:top w:val="none" w:sz="0" w:space="0" w:color="auto"/>
        <w:left w:val="none" w:sz="0" w:space="0" w:color="auto"/>
        <w:bottom w:val="none" w:sz="0" w:space="0" w:color="auto"/>
        <w:right w:val="none" w:sz="0" w:space="0" w:color="auto"/>
      </w:divBdr>
    </w:div>
    <w:div w:id="1407611486">
      <w:bodyDiv w:val="1"/>
      <w:marLeft w:val="0"/>
      <w:marRight w:val="0"/>
      <w:marTop w:val="0"/>
      <w:marBottom w:val="0"/>
      <w:divBdr>
        <w:top w:val="none" w:sz="0" w:space="0" w:color="auto"/>
        <w:left w:val="none" w:sz="0" w:space="0" w:color="auto"/>
        <w:bottom w:val="none" w:sz="0" w:space="0" w:color="auto"/>
        <w:right w:val="none" w:sz="0" w:space="0" w:color="auto"/>
      </w:divBdr>
    </w:div>
    <w:div w:id="1407679715">
      <w:bodyDiv w:val="1"/>
      <w:marLeft w:val="0"/>
      <w:marRight w:val="0"/>
      <w:marTop w:val="0"/>
      <w:marBottom w:val="0"/>
      <w:divBdr>
        <w:top w:val="none" w:sz="0" w:space="0" w:color="auto"/>
        <w:left w:val="none" w:sz="0" w:space="0" w:color="auto"/>
        <w:bottom w:val="none" w:sz="0" w:space="0" w:color="auto"/>
        <w:right w:val="none" w:sz="0" w:space="0" w:color="auto"/>
      </w:divBdr>
    </w:div>
    <w:div w:id="1413119609">
      <w:bodyDiv w:val="1"/>
      <w:marLeft w:val="0"/>
      <w:marRight w:val="0"/>
      <w:marTop w:val="0"/>
      <w:marBottom w:val="0"/>
      <w:divBdr>
        <w:top w:val="none" w:sz="0" w:space="0" w:color="auto"/>
        <w:left w:val="none" w:sz="0" w:space="0" w:color="auto"/>
        <w:bottom w:val="none" w:sz="0" w:space="0" w:color="auto"/>
        <w:right w:val="none" w:sz="0" w:space="0" w:color="auto"/>
      </w:divBdr>
    </w:div>
    <w:div w:id="1419861359">
      <w:bodyDiv w:val="1"/>
      <w:marLeft w:val="0"/>
      <w:marRight w:val="0"/>
      <w:marTop w:val="0"/>
      <w:marBottom w:val="0"/>
      <w:divBdr>
        <w:top w:val="none" w:sz="0" w:space="0" w:color="auto"/>
        <w:left w:val="none" w:sz="0" w:space="0" w:color="auto"/>
        <w:bottom w:val="none" w:sz="0" w:space="0" w:color="auto"/>
        <w:right w:val="none" w:sz="0" w:space="0" w:color="auto"/>
      </w:divBdr>
    </w:div>
    <w:div w:id="1560163623">
      <w:bodyDiv w:val="1"/>
      <w:marLeft w:val="0"/>
      <w:marRight w:val="0"/>
      <w:marTop w:val="0"/>
      <w:marBottom w:val="0"/>
      <w:divBdr>
        <w:top w:val="none" w:sz="0" w:space="0" w:color="auto"/>
        <w:left w:val="none" w:sz="0" w:space="0" w:color="auto"/>
        <w:bottom w:val="none" w:sz="0" w:space="0" w:color="auto"/>
        <w:right w:val="none" w:sz="0" w:space="0" w:color="auto"/>
      </w:divBdr>
    </w:div>
    <w:div w:id="1744647048">
      <w:bodyDiv w:val="1"/>
      <w:marLeft w:val="0"/>
      <w:marRight w:val="0"/>
      <w:marTop w:val="0"/>
      <w:marBottom w:val="0"/>
      <w:divBdr>
        <w:top w:val="none" w:sz="0" w:space="0" w:color="auto"/>
        <w:left w:val="none" w:sz="0" w:space="0" w:color="auto"/>
        <w:bottom w:val="none" w:sz="0" w:space="0" w:color="auto"/>
        <w:right w:val="none" w:sz="0" w:space="0" w:color="auto"/>
      </w:divBdr>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1895507772">
      <w:bodyDiv w:val="1"/>
      <w:marLeft w:val="0"/>
      <w:marRight w:val="0"/>
      <w:marTop w:val="0"/>
      <w:marBottom w:val="0"/>
      <w:divBdr>
        <w:top w:val="none" w:sz="0" w:space="0" w:color="auto"/>
        <w:left w:val="none" w:sz="0" w:space="0" w:color="auto"/>
        <w:bottom w:val="none" w:sz="0" w:space="0" w:color="auto"/>
        <w:right w:val="none" w:sz="0" w:space="0" w:color="auto"/>
      </w:divBdr>
    </w:div>
    <w:div w:id="1924604095">
      <w:bodyDiv w:val="1"/>
      <w:marLeft w:val="0"/>
      <w:marRight w:val="0"/>
      <w:marTop w:val="0"/>
      <w:marBottom w:val="0"/>
      <w:divBdr>
        <w:top w:val="none" w:sz="0" w:space="0" w:color="auto"/>
        <w:left w:val="none" w:sz="0" w:space="0" w:color="auto"/>
        <w:bottom w:val="none" w:sz="0" w:space="0" w:color="auto"/>
        <w:right w:val="none" w:sz="0" w:space="0" w:color="auto"/>
      </w:divBdr>
    </w:div>
    <w:div w:id="2028363004">
      <w:bodyDiv w:val="1"/>
      <w:marLeft w:val="0"/>
      <w:marRight w:val="0"/>
      <w:marTop w:val="0"/>
      <w:marBottom w:val="0"/>
      <w:divBdr>
        <w:top w:val="none" w:sz="0" w:space="0" w:color="auto"/>
        <w:left w:val="none" w:sz="0" w:space="0" w:color="auto"/>
        <w:bottom w:val="none" w:sz="0" w:space="0" w:color="auto"/>
        <w:right w:val="none" w:sz="0" w:space="0" w:color="auto"/>
      </w:divBdr>
    </w:div>
    <w:div w:id="2107143035">
      <w:bodyDiv w:val="1"/>
      <w:marLeft w:val="0"/>
      <w:marRight w:val="0"/>
      <w:marTop w:val="0"/>
      <w:marBottom w:val="0"/>
      <w:divBdr>
        <w:top w:val="none" w:sz="0" w:space="0" w:color="auto"/>
        <w:left w:val="none" w:sz="0" w:space="0" w:color="auto"/>
        <w:bottom w:val="none" w:sz="0" w:space="0" w:color="auto"/>
        <w:right w:val="none" w:sz="0" w:space="0" w:color="auto"/>
      </w:divBdr>
    </w:div>
    <w:div w:id="2130004245">
      <w:bodyDiv w:val="1"/>
      <w:marLeft w:val="0"/>
      <w:marRight w:val="0"/>
      <w:marTop w:val="0"/>
      <w:marBottom w:val="0"/>
      <w:divBdr>
        <w:top w:val="none" w:sz="0" w:space="0" w:color="auto"/>
        <w:left w:val="none" w:sz="0" w:space="0" w:color="auto"/>
        <w:bottom w:val="none" w:sz="0" w:space="0" w:color="auto"/>
        <w:right w:val="none" w:sz="0" w:space="0" w:color="auto"/>
      </w:divBdr>
    </w:div>
    <w:div w:id="21431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tf.wi.gov/boards/agenda-items-2016/gib0217/item5c.pdf" TargetMode="External"/><Relationship Id="rId18" Type="http://schemas.openxmlformats.org/officeDocument/2006/relationships/hyperlink" Target="http://www.legis.state.wi.us/rsb/stats.html" TargetMode="External"/><Relationship Id="rId26" Type="http://schemas.openxmlformats.org/officeDocument/2006/relationships/hyperlink" Target="http://www.owasp.org" TargetMode="External"/><Relationship Id="rId3" Type="http://schemas.openxmlformats.org/officeDocument/2006/relationships/styles" Target="styles.xml"/><Relationship Id="rId21" Type="http://schemas.openxmlformats.org/officeDocument/2006/relationships/hyperlink" Target="https://etfonline.wi.gov/etf/internet/RFP/rfp.html" TargetMode="External"/><Relationship Id="rId7" Type="http://schemas.openxmlformats.org/officeDocument/2006/relationships/endnotes" Target="endnotes.xml"/><Relationship Id="rId12" Type="http://schemas.openxmlformats.org/officeDocument/2006/relationships/hyperlink" Target="http://etf.wi.gov/boards/agenda-items-2015/gib1117/item3ar.pdf" TargetMode="External"/><Relationship Id="rId17" Type="http://schemas.openxmlformats.org/officeDocument/2006/relationships/hyperlink" Target="mailto:ETFSMBProcurement@etf.wi.gov" TargetMode="External"/><Relationship Id="rId25" Type="http://schemas.openxmlformats.org/officeDocument/2006/relationships/hyperlink" Target="http://www.w3.org/TR/WCAG20/" TargetMode="External"/><Relationship Id="rId2" Type="http://schemas.openxmlformats.org/officeDocument/2006/relationships/numbering" Target="numbering.xml"/><Relationship Id="rId16" Type="http://schemas.openxmlformats.org/officeDocument/2006/relationships/hyperlink" Target="http://etf.wi.gov/publications/et2405.pdf" TargetMode="External"/><Relationship Id="rId20" Type="http://schemas.openxmlformats.org/officeDocument/2006/relationships/hyperlink" Target="mailto:ETFSMBProcurement@etf.wi.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f.wi.gov/members/IYC2016/IYC_home.asp" TargetMode="External"/><Relationship Id="rId24" Type="http://schemas.openxmlformats.org/officeDocument/2006/relationships/hyperlink" Target="https://www.irs.gov/pub/irs-pdf/fw9.pdf" TargetMode="External"/><Relationship Id="rId5" Type="http://schemas.openxmlformats.org/officeDocument/2006/relationships/webSettings" Target="webSettings.xml"/><Relationship Id="rId15" Type="http://schemas.openxmlformats.org/officeDocument/2006/relationships/hyperlink" Target="http://www.legis.state.wi.us/statutes/Stat0040.pdf" TargetMode="External"/><Relationship Id="rId23" Type="http://schemas.openxmlformats.org/officeDocument/2006/relationships/hyperlink" Target="http://vendornet.state.wi.us" TargetMode="External"/><Relationship Id="rId28" Type="http://schemas.openxmlformats.org/officeDocument/2006/relationships/footer" Target="footer1.xml"/><Relationship Id="rId10" Type="http://schemas.openxmlformats.org/officeDocument/2006/relationships/hyperlink" Target="http://etf.wi.gov/publications/et8902.pdf" TargetMode="External"/><Relationship Id="rId19" Type="http://schemas.openxmlformats.org/officeDocument/2006/relationships/hyperlink" Target="http://etf.wi.gov/glossary.htm" TargetMode="External"/><Relationship Id="rId4" Type="http://schemas.openxmlformats.org/officeDocument/2006/relationships/settings" Target="settings.xml"/><Relationship Id="rId9" Type="http://schemas.openxmlformats.org/officeDocument/2006/relationships/hyperlink" Target="http://wellwisconsin.wi.gov/Home" TargetMode="External"/><Relationship Id="rId14" Type="http://schemas.openxmlformats.org/officeDocument/2006/relationships/hyperlink" Target="http://docs.legis.wisconsin.gov/code/admin_code/etf/11" TargetMode="External"/><Relationship Id="rId22" Type="http://schemas.openxmlformats.org/officeDocument/2006/relationships/hyperlink" Target="http://etfextranet.it.state.wi.us/etf/internet/RFP/rfp.html" TargetMode="External"/><Relationship Id="rId27" Type="http://schemas.openxmlformats.org/officeDocument/2006/relationships/hyperlink" Target="https://www.irs.gov/pub/irs-pdf/fw9.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4A083-2797-4C39-A3D0-17EC7CC4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55</Pages>
  <Words>21507</Words>
  <Characters>120348</Characters>
  <Application>Microsoft Office Word</Application>
  <DocSecurity>0</DocSecurity>
  <Lines>1002</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McNally, Michael</cp:lastModifiedBy>
  <cp:revision>11</cp:revision>
  <cp:lastPrinted>2016-04-22T23:59:00Z</cp:lastPrinted>
  <dcterms:created xsi:type="dcterms:W3CDTF">2016-04-22T21:47:00Z</dcterms:created>
  <dcterms:modified xsi:type="dcterms:W3CDTF">2016-04-25T16:00:00Z</dcterms:modified>
</cp:coreProperties>
</file>