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62" w:type="dxa"/>
        <w:tblLayout w:type="fixed"/>
        <w:tblLook w:val="0000" w:firstRow="0" w:lastRow="0" w:firstColumn="0" w:lastColumn="0" w:noHBand="0" w:noVBand="0"/>
      </w:tblPr>
      <w:tblGrid>
        <w:gridCol w:w="2970"/>
        <w:gridCol w:w="5652"/>
        <w:gridCol w:w="2538"/>
      </w:tblGrid>
      <w:tr w:rsidR="00BA5005" w:rsidRPr="000E00FF" w14:paraId="64962696" w14:textId="77777777" w:rsidTr="006370F7">
        <w:trPr>
          <w:trHeight w:val="1793"/>
        </w:trPr>
        <w:tc>
          <w:tcPr>
            <w:tcW w:w="2970" w:type="dxa"/>
          </w:tcPr>
          <w:p w14:paraId="15786093" w14:textId="77777777" w:rsidR="00BA5005" w:rsidRPr="000E00FF" w:rsidRDefault="005E4423" w:rsidP="00947C39">
            <w:pPr>
              <w:rPr>
                <w:sz w:val="24"/>
                <w:szCs w:val="24"/>
              </w:rPr>
            </w:pPr>
            <w:r w:rsidRPr="000E00FF">
              <w:rPr>
                <w:noProof/>
                <w:sz w:val="24"/>
                <w:szCs w:val="24"/>
              </w:rPr>
              <w:drawing>
                <wp:inline distT="0" distB="0" distL="0" distR="0" wp14:anchorId="799F07BD" wp14:editId="64F8CBE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461DB720" w14:textId="77777777" w:rsidR="00BA5005" w:rsidRPr="000E00FF" w:rsidRDefault="00BA5005" w:rsidP="00947C39">
            <w:pPr>
              <w:pStyle w:val="Title"/>
              <w:rPr>
                <w:rFonts w:ascii="Arial" w:hAnsi="Arial"/>
                <w:b/>
                <w:sz w:val="24"/>
                <w:szCs w:val="24"/>
              </w:rPr>
            </w:pPr>
          </w:p>
          <w:p w14:paraId="7D072AA7" w14:textId="77777777" w:rsidR="00BA5005" w:rsidRPr="000E00FF" w:rsidRDefault="008F7ACA" w:rsidP="00947C39">
            <w:pPr>
              <w:ind w:right="-108"/>
              <w:rPr>
                <w:i/>
                <w:sz w:val="24"/>
                <w:szCs w:val="24"/>
              </w:rPr>
            </w:pPr>
            <w:r>
              <w:rPr>
                <w:noProof/>
                <w:sz w:val="24"/>
                <w:szCs w:val="24"/>
              </w:rPr>
              <mc:AlternateContent>
                <mc:Choice Requires="wps">
                  <w:drawing>
                    <wp:inline distT="0" distB="0" distL="0" distR="0" wp14:anchorId="37B25812" wp14:editId="4FE98281">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D9D1" w14:textId="77777777" w:rsidR="00F66EB5" w:rsidRDefault="00F66EB5"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F66EB5" w:rsidRDefault="00F66EB5"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F66EB5" w:rsidRPr="004A7A4A" w:rsidRDefault="00F66EB5"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F66EB5" w:rsidRDefault="00F66EB5" w:rsidP="008F7ACA">
                                  <w:pPr>
                                    <w:jc w:val="center"/>
                                    <w:rPr>
                                      <w:rFonts w:ascii="Century Gothic" w:hAnsi="Century Gothic"/>
                                      <w:sz w:val="16"/>
                                    </w:rPr>
                                  </w:pPr>
                                  <w:r>
                                    <w:rPr>
                                      <w:rFonts w:ascii="Century Gothic" w:hAnsi="Century Gothic"/>
                                      <w:sz w:val="16"/>
                                    </w:rPr>
                                    <w:t>SECRETARY</w:t>
                                  </w:r>
                                </w:p>
                                <w:p w14:paraId="3CBC519F" w14:textId="77777777" w:rsidR="00F66EB5" w:rsidRDefault="00F66EB5"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7B25812"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orgg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HqrTG1eB070BNz/ANrAcM3XmTtMvDil90xK14VfW6r7lhEF0WTiZnBwdcVwA&#10;WffvNYNryNbrCDQ0tgulg2IgQAeWHo/MhFAobE6ni2m+ABMF2yLPy/NIXUKqw2ljnX/LdYfCpMYW&#10;mI/oZHfnfIiGVAeXcJnTUrCVkDIu7GZ9Iy3aEVDJKn4xgRduUgVnpcOxEXHcgSDhjmAL4UbWn8os&#10;L9LrvJyszhfzSbEqZpNyni4maVZeQ/BFWdyuvocAs6JqBWNc3QnFDwrMir9jeN8Lo3aiBlFf43KW&#10;z0aK/phkGr/fJdkJDw0pRQd1PjqRKhD7RjFIm1SeCDnOk5/Dj1WGGhz+sSpRBoH5UQN+WA+AErSx&#10;1uwRBGE18AXUwisCk1bbbxj10JE1dl+3xHKM5DsFoiqzoggtHBfFbJ7Dwp5a1qcWoihA1dhjNE5v&#10;/Nj2W2PFpoWbRhkrfQVCbETUyHNUe/lC18Vk9i9EaOvTdfR6fseWPwAAAP//AwBQSwMEFAAGAAgA&#10;AAAhAHkpzSraAAAABQEAAA8AAABkcnMvZG93bnJldi54bWxMj8FOwzAQRO9I/IO1SFwQdQg0pSFO&#10;BUggri39gE28TSLidRS7Tfr3LFzgstJoRrNvis3senWiMXSeDdwtElDEtbcdNwb2n2+3j6BCRLbY&#10;eyYDZwqwKS8vCsytn3hLp11slJRwyNFAG+OQax3qlhyGhR+IxTv40WEUOTbajjhJuet1miSZdtix&#10;fGhxoNeW6q/d0Rk4fEw3y/VUvcf9avuQvWC3qvzZmOur+fkJVKQ5/oXhB1/QoRSmyh/ZBtUbkCHx&#10;94q3vE9lRiWhdJ2BLgv9n778BgAA//8DAFBLAQItABQABgAIAAAAIQC2gziS/gAAAOEBAAATAAAA&#10;AAAAAAAAAAAAAAAAAABbQ29udGVudF9UeXBlc10ueG1sUEsBAi0AFAAGAAgAAAAhADj9If/WAAAA&#10;lAEAAAsAAAAAAAAAAAAAAAAALwEAAF9yZWxzLy5yZWxzUEsBAi0AFAAGAAgAAAAhALvU2iuCAgAA&#10;DwUAAA4AAAAAAAAAAAAAAAAALgIAAGRycy9lMm9Eb2MueG1sUEsBAi0AFAAGAAgAAAAhAHkpzSra&#10;AAAABQEAAA8AAAAAAAAAAAAAAAAA3AQAAGRycy9kb3ducmV2LnhtbFBLBQYAAAAABAAEAPMAAADj&#10;BQAAAAA=&#10;" stroked="f">
                      <v:textbox>
                        <w:txbxContent>
                          <w:p w14:paraId="4317D9D1" w14:textId="77777777" w:rsidR="00F66EB5" w:rsidRDefault="00F66EB5"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F66EB5" w:rsidRDefault="00F66EB5"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F66EB5" w:rsidRPr="004A7A4A" w:rsidRDefault="00F66EB5"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F66EB5" w:rsidRDefault="00F66EB5" w:rsidP="008F7ACA">
                            <w:pPr>
                              <w:jc w:val="center"/>
                              <w:rPr>
                                <w:rFonts w:ascii="Century Gothic" w:hAnsi="Century Gothic"/>
                                <w:sz w:val="16"/>
                              </w:rPr>
                            </w:pPr>
                            <w:r>
                              <w:rPr>
                                <w:rFonts w:ascii="Century Gothic" w:hAnsi="Century Gothic"/>
                                <w:sz w:val="16"/>
                              </w:rPr>
                              <w:t>SECRETARY</w:t>
                            </w:r>
                          </w:p>
                          <w:p w14:paraId="3CBC519F" w14:textId="77777777" w:rsidR="00F66EB5" w:rsidRDefault="00F66EB5" w:rsidP="008F7ACA">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FC3551" w14:textId="77777777" w:rsidR="00BA5005" w:rsidRPr="000E00FF" w:rsidRDefault="008F7ACA" w:rsidP="00947C39">
            <w:pPr>
              <w:jc w:val="right"/>
              <w:rPr>
                <w:sz w:val="24"/>
                <w:szCs w:val="24"/>
              </w:rPr>
            </w:pPr>
            <w:r>
              <w:rPr>
                <w:noProof/>
                <w:sz w:val="24"/>
                <w:szCs w:val="24"/>
              </w:rPr>
              <mc:AlternateContent>
                <mc:Choice Requires="wps">
                  <w:drawing>
                    <wp:inline distT="0" distB="0" distL="0" distR="0" wp14:anchorId="4C407225" wp14:editId="5F67C2C4">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258B" w14:textId="77777777" w:rsidR="006370F7" w:rsidRPr="006370F7" w:rsidRDefault="006370F7"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6370F7" w:rsidRPr="006370F7" w:rsidRDefault="006370F7"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6370F7" w:rsidRPr="006370F7" w:rsidRDefault="006370F7"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6370F7" w:rsidRDefault="006370F7"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F66EB5" w:rsidRPr="006370F7" w:rsidRDefault="00F66EB5" w:rsidP="006370F7">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C407225"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iThgIAABc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r5bZIoUQhViWlst8FbVLSHU6bqzzb7juUFjU2IL0&#10;EZ4c7p0PdEh1Son0tRRsI6SMG7vb3kqLDgRssom/WAFUOU2TKiQrHY6NiOMbYAl3hFjgG2X/VmZ5&#10;kd7k5WyzWC1nxaaYz8plupqlWXlTLtKiLO423wPBrKhawRhX90LxkwWz4u8kPg7DaJ5oQtTXuJzn&#10;81GjKXs3LTKNvz8V2QkPEylFV+PVOYlUQdnXikHZpPJEyHGd/Ew/dhl6cPqPXYk+CNKPJvDDdjga&#10;DsCCR7aaPYExrAbZQGL4msCi1fYrRj1MZo3dlz2xHCP5VoG5yqwowijHTTFf5rCx08h2GiGKAlSN&#10;PUbj8taP4783VuxauGm0s9LXYMhGRKs8szraGKYv1nT8UoTxnu5j1vP3bP0DAAD//wMAUEsDBBQA&#10;BgAIAAAAIQCs9VYL2gAAAAUBAAAPAAAAZHJzL2Rvd25yZXYueG1sTI9BT4NAEIXvJv6HzTTxYuxS&#10;olCRpVETjdfW/oABpkDKzhJ2W+i/d/RiL5O8vJc338s3s+3VmUbfOTawWkagiCtXd9wY2H9/PKxB&#10;+YBcY++YDFzIw6a4vckxq93EWzrvQqOkhH2GBtoQhkxrX7Vk0S/dQCzewY0Wg8ix0fWIk5TbXsdR&#10;lGiLHcuHFgd6b6k67k7WwOFrun96nsrPsE+3j8kbdmnpLsbcLebXF1CB5vAfhl98QYdCmEp34tqr&#10;3oAMCX9XvHiViCwllMZr0EWur+mLHwAAAP//AwBQSwECLQAUAAYACAAAACEAtoM4kv4AAADhAQAA&#10;EwAAAAAAAAAAAAAAAAAAAAAAW0NvbnRlbnRfVHlwZXNdLnhtbFBLAQItABQABgAIAAAAIQA4/SH/&#10;1gAAAJQBAAALAAAAAAAAAAAAAAAAAC8BAABfcmVscy8ucmVsc1BLAQItABQABgAIAAAAIQCJiUiT&#10;hgIAABcFAAAOAAAAAAAAAAAAAAAAAC4CAABkcnMvZTJvRG9jLnhtbFBLAQItABQABgAIAAAAIQCs&#10;9VYL2gAAAAUBAAAPAAAAAAAAAAAAAAAAAOAEAABkcnMvZG93bnJldi54bWxQSwUGAAAAAAQABADz&#10;AAAA5wUAAAAA&#10;" stroked="f">
                      <v:textbox>
                        <w:txbxContent>
                          <w:p w14:paraId="31B2258B" w14:textId="77777777" w:rsidR="006370F7" w:rsidRPr="006370F7" w:rsidRDefault="006370F7"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6370F7" w:rsidRPr="006370F7" w:rsidRDefault="006370F7"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6370F7" w:rsidRPr="006370F7" w:rsidRDefault="006370F7"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6370F7" w:rsidRDefault="006370F7"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F66EB5" w:rsidRPr="006370F7" w:rsidRDefault="00F66EB5" w:rsidP="006370F7">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6594EED0" w14:textId="77777777" w:rsidR="0063482F" w:rsidRPr="00C51DFC" w:rsidRDefault="0063482F" w:rsidP="00947C39">
      <w:pPr>
        <w:rPr>
          <w:szCs w:val="22"/>
        </w:rPr>
      </w:pPr>
    </w:p>
    <w:p w14:paraId="1D9A92EE" w14:textId="2EE4E974" w:rsidR="0020636C" w:rsidRDefault="00C2669A" w:rsidP="00947C39">
      <w:pPr>
        <w:rPr>
          <w:rFonts w:cs="Arial"/>
          <w:szCs w:val="22"/>
        </w:rPr>
      </w:pPr>
      <w:r w:rsidRPr="00C2669A">
        <w:rPr>
          <w:rFonts w:cs="Arial"/>
          <w:szCs w:val="22"/>
        </w:rPr>
        <w:t>Date:</w:t>
      </w:r>
      <w:r w:rsidRPr="00C2669A">
        <w:rPr>
          <w:rFonts w:cs="Arial"/>
          <w:szCs w:val="22"/>
        </w:rPr>
        <w:tab/>
      </w:r>
      <w:r w:rsidRPr="00C2669A">
        <w:rPr>
          <w:rFonts w:cs="Arial"/>
          <w:szCs w:val="22"/>
        </w:rPr>
        <w:tab/>
      </w:r>
      <w:r w:rsidR="00BE2882">
        <w:rPr>
          <w:rFonts w:cs="Arial"/>
          <w:szCs w:val="22"/>
        </w:rPr>
        <w:t>January 9, 2020</w:t>
      </w:r>
    </w:p>
    <w:p w14:paraId="4E03877B" w14:textId="77777777" w:rsidR="002C7ACB" w:rsidRDefault="002C7ACB" w:rsidP="00947C39">
      <w:pPr>
        <w:rPr>
          <w:rFonts w:cs="Arial"/>
          <w:szCs w:val="22"/>
        </w:rPr>
      </w:pPr>
    </w:p>
    <w:p w14:paraId="30197C48" w14:textId="30F73B2E" w:rsidR="00C2669A" w:rsidRDefault="002C7ACB" w:rsidP="00BE2882">
      <w:pPr>
        <w:tabs>
          <w:tab w:val="left" w:pos="1440"/>
        </w:tabs>
        <w:ind w:left="1440" w:hanging="1440"/>
        <w:rPr>
          <w:rFonts w:cs="Arial"/>
          <w:szCs w:val="22"/>
        </w:rPr>
      </w:pPr>
      <w:r>
        <w:rPr>
          <w:rFonts w:cs="Arial"/>
          <w:szCs w:val="22"/>
        </w:rPr>
        <w:t>To:</w:t>
      </w:r>
      <w:r>
        <w:rPr>
          <w:rFonts w:cs="Arial"/>
          <w:szCs w:val="22"/>
        </w:rPr>
        <w:tab/>
        <w:t xml:space="preserve">All </w:t>
      </w:r>
      <w:r w:rsidR="00DB3018">
        <w:rPr>
          <w:rFonts w:cs="Arial"/>
          <w:szCs w:val="22"/>
        </w:rPr>
        <w:t xml:space="preserve">Potential Proposers to </w:t>
      </w:r>
      <w:r w:rsidR="00BE2882">
        <w:rPr>
          <w:rFonts w:cs="Arial"/>
          <w:szCs w:val="22"/>
        </w:rPr>
        <w:t xml:space="preserve">ETF </w:t>
      </w:r>
      <w:r w:rsidR="00B06F3F">
        <w:rPr>
          <w:rFonts w:cs="Arial"/>
          <w:szCs w:val="22"/>
        </w:rPr>
        <w:t xml:space="preserve">RFP </w:t>
      </w:r>
      <w:r w:rsidR="00D7354A">
        <w:rPr>
          <w:rFonts w:cs="Arial"/>
          <w:szCs w:val="22"/>
        </w:rPr>
        <w:t>ET</w:t>
      </w:r>
      <w:r w:rsidR="00BE2882">
        <w:rPr>
          <w:rFonts w:cs="Arial"/>
          <w:szCs w:val="22"/>
        </w:rPr>
        <w:t xml:space="preserve">J0048 </w:t>
      </w:r>
    </w:p>
    <w:p w14:paraId="6E3D918F" w14:textId="77777777" w:rsidR="00BE2882" w:rsidRPr="00C2669A" w:rsidRDefault="00BE2882" w:rsidP="00947C39">
      <w:pPr>
        <w:rPr>
          <w:rFonts w:cs="Arial"/>
          <w:szCs w:val="22"/>
        </w:rPr>
      </w:pPr>
    </w:p>
    <w:p w14:paraId="3353D375" w14:textId="096FC409" w:rsidR="00DE2238" w:rsidRPr="00DE2238" w:rsidRDefault="00C2669A" w:rsidP="00140D7D">
      <w:pPr>
        <w:ind w:left="1440" w:hanging="1440"/>
        <w:rPr>
          <w:rFonts w:cs="Arial"/>
          <w:b/>
          <w:sz w:val="20"/>
        </w:rPr>
      </w:pPr>
      <w:r w:rsidRPr="00C2669A">
        <w:rPr>
          <w:rFonts w:cs="Arial"/>
          <w:szCs w:val="22"/>
        </w:rPr>
        <w:t>RE:</w:t>
      </w:r>
      <w:r w:rsidRPr="00C2669A">
        <w:rPr>
          <w:rFonts w:cs="Arial"/>
          <w:szCs w:val="22"/>
        </w:rPr>
        <w:tab/>
      </w:r>
      <w:r w:rsidR="00140D7D">
        <w:rPr>
          <w:rFonts w:cs="Arial"/>
          <w:b/>
          <w:szCs w:val="22"/>
        </w:rPr>
        <w:t xml:space="preserve">Addendum </w:t>
      </w:r>
      <w:r w:rsidR="00B06F3F">
        <w:rPr>
          <w:rFonts w:cs="Arial"/>
          <w:b/>
          <w:szCs w:val="22"/>
        </w:rPr>
        <w:t>No. 1</w:t>
      </w:r>
      <w:r w:rsidR="00140D7D">
        <w:rPr>
          <w:rFonts w:cs="Arial"/>
          <w:b/>
          <w:szCs w:val="22"/>
        </w:rPr>
        <w:t xml:space="preserve"> to </w:t>
      </w:r>
      <w:r w:rsidR="00837497">
        <w:rPr>
          <w:rFonts w:cs="Arial"/>
          <w:b/>
          <w:szCs w:val="22"/>
        </w:rPr>
        <w:t>Re</w:t>
      </w:r>
      <w:r w:rsidR="00B06F3F">
        <w:rPr>
          <w:rFonts w:cs="Arial"/>
          <w:b/>
          <w:szCs w:val="22"/>
        </w:rPr>
        <w:t>quest for Proposal</w:t>
      </w:r>
      <w:r w:rsidR="00DE2238">
        <w:rPr>
          <w:rFonts w:cs="Arial"/>
          <w:b/>
          <w:szCs w:val="22"/>
        </w:rPr>
        <w:t>s</w:t>
      </w:r>
      <w:r w:rsidR="00B06F3F">
        <w:rPr>
          <w:rFonts w:cs="Arial"/>
          <w:b/>
          <w:szCs w:val="22"/>
        </w:rPr>
        <w:t xml:space="preserve"> (RFP) </w:t>
      </w:r>
      <w:r w:rsidR="00DE2238">
        <w:rPr>
          <w:rFonts w:cs="Arial"/>
          <w:b/>
          <w:szCs w:val="22"/>
        </w:rPr>
        <w:t>ET</w:t>
      </w:r>
      <w:r w:rsidR="002A2117">
        <w:rPr>
          <w:rFonts w:cs="Arial"/>
          <w:b/>
          <w:szCs w:val="22"/>
        </w:rPr>
        <w:t>J0048</w:t>
      </w:r>
      <w:r w:rsidR="00140D7D">
        <w:rPr>
          <w:rFonts w:cs="Arial"/>
          <w:b/>
          <w:szCs w:val="22"/>
        </w:rPr>
        <w:t xml:space="preserve"> </w:t>
      </w:r>
      <w:r w:rsidR="00140D7D" w:rsidRPr="00140D7D">
        <w:rPr>
          <w:rFonts w:cs="Arial"/>
          <w:b/>
          <w:bCs/>
          <w:szCs w:val="22"/>
        </w:rPr>
        <w:t>– Business Process Management and Strategic Mapping Consulting Services</w:t>
      </w:r>
      <w:r w:rsidR="002A2117">
        <w:rPr>
          <w:rFonts w:cs="Arial"/>
          <w:b/>
          <w:szCs w:val="22"/>
        </w:rPr>
        <w:t xml:space="preserve">  </w:t>
      </w:r>
    </w:p>
    <w:p w14:paraId="31E41110" w14:textId="77777777" w:rsidR="00C2669A" w:rsidRPr="00C2669A" w:rsidRDefault="00C2669A" w:rsidP="00947C39">
      <w:pPr>
        <w:pBdr>
          <w:bottom w:val="single" w:sz="4" w:space="1" w:color="auto"/>
        </w:pBdr>
        <w:rPr>
          <w:rFonts w:cs="Arial"/>
          <w:szCs w:val="22"/>
        </w:rPr>
      </w:pPr>
    </w:p>
    <w:p w14:paraId="156F5953" w14:textId="77777777" w:rsidR="00842D08" w:rsidRDefault="00842D08" w:rsidP="00947C39">
      <w:pPr>
        <w:rPr>
          <w:rFonts w:cs="Arial"/>
          <w:b/>
          <w:szCs w:val="22"/>
        </w:rPr>
      </w:pPr>
    </w:p>
    <w:p w14:paraId="6BC275B4" w14:textId="77777777" w:rsidR="00842D08" w:rsidRDefault="00530D6D" w:rsidP="00947C39">
      <w:pPr>
        <w:rPr>
          <w:rFonts w:cs="Arial"/>
          <w:b/>
          <w:szCs w:val="22"/>
        </w:rPr>
      </w:pPr>
      <w:r>
        <w:rPr>
          <w:rFonts w:cs="Arial"/>
          <w:b/>
          <w:szCs w:val="22"/>
        </w:rPr>
        <w:t>Acknowledgement of receipt of t</w:t>
      </w:r>
      <w:r w:rsidR="00842D08">
        <w:rPr>
          <w:rFonts w:cs="Arial"/>
          <w:b/>
          <w:szCs w:val="22"/>
        </w:rPr>
        <w:t xml:space="preserve">his </w:t>
      </w:r>
      <w:r w:rsidR="00C96FBA">
        <w:rPr>
          <w:rFonts w:cs="Arial"/>
          <w:b/>
          <w:szCs w:val="22"/>
        </w:rPr>
        <w:t xml:space="preserve">Addendum No. </w:t>
      </w:r>
      <w:r w:rsidR="00B06F3F">
        <w:rPr>
          <w:rFonts w:cs="Arial"/>
          <w:b/>
          <w:szCs w:val="22"/>
        </w:rPr>
        <w:t>1</w:t>
      </w:r>
      <w:r w:rsidR="00842D08">
        <w:rPr>
          <w:rFonts w:cs="Arial"/>
          <w:b/>
          <w:szCs w:val="22"/>
        </w:rPr>
        <w:t>:</w:t>
      </w:r>
      <w:r w:rsidR="00842D08" w:rsidRPr="00842D08">
        <w:rPr>
          <w:rFonts w:cs="Arial"/>
          <w:b/>
          <w:szCs w:val="22"/>
        </w:rPr>
        <w:t xml:space="preserve"> </w:t>
      </w:r>
      <w:r w:rsidR="00842D08">
        <w:rPr>
          <w:rFonts w:cs="Arial"/>
          <w:b/>
          <w:szCs w:val="22"/>
        </w:rPr>
        <w:t xml:space="preserve"> </w:t>
      </w:r>
    </w:p>
    <w:p w14:paraId="1E2A6F35" w14:textId="77777777" w:rsidR="00842D08" w:rsidRDefault="00842D08" w:rsidP="00947C39">
      <w:pPr>
        <w:rPr>
          <w:rFonts w:cs="Arial"/>
          <w:b/>
          <w:szCs w:val="22"/>
        </w:rPr>
      </w:pPr>
      <w:bookmarkStart w:id="0" w:name="_GoBack"/>
      <w:bookmarkEnd w:id="0"/>
    </w:p>
    <w:p w14:paraId="5CF8FE9F" w14:textId="7A62744F" w:rsidR="00842D08" w:rsidRDefault="00842D08" w:rsidP="00947C39">
      <w:pPr>
        <w:rPr>
          <w:rFonts w:cs="Arial"/>
          <w:b/>
          <w:szCs w:val="22"/>
        </w:rPr>
      </w:pPr>
      <w:r w:rsidRPr="002978C6">
        <w:rPr>
          <w:rFonts w:cs="Arial"/>
          <w:b/>
          <w:szCs w:val="22"/>
        </w:rPr>
        <w:t>Proposers must acknowledg</w:t>
      </w:r>
      <w:r w:rsidR="00C96FBA">
        <w:rPr>
          <w:rFonts w:cs="Arial"/>
          <w:b/>
          <w:szCs w:val="22"/>
        </w:rPr>
        <w:t xml:space="preserve">e receipt of this Addendum No. </w:t>
      </w:r>
      <w:r w:rsidR="00B06F3F">
        <w:rPr>
          <w:rFonts w:cs="Arial"/>
          <w:b/>
          <w:szCs w:val="22"/>
        </w:rPr>
        <w:t>1</w:t>
      </w:r>
      <w:r w:rsidR="00C96FBA">
        <w:rPr>
          <w:rFonts w:cs="Arial"/>
          <w:b/>
          <w:szCs w:val="22"/>
        </w:rPr>
        <w:t xml:space="preserve"> </w:t>
      </w:r>
      <w:r w:rsidRPr="002978C6">
        <w:rPr>
          <w:rFonts w:cs="Arial"/>
          <w:b/>
          <w:szCs w:val="22"/>
        </w:rPr>
        <w:t>by providing the required information in th</w:t>
      </w:r>
      <w:r w:rsidR="0015587D">
        <w:rPr>
          <w:rFonts w:cs="Arial"/>
          <w:b/>
          <w:szCs w:val="22"/>
        </w:rPr>
        <w:t>e box below and including this P</w:t>
      </w:r>
      <w:r w:rsidRPr="002978C6">
        <w:rPr>
          <w:rFonts w:cs="Arial"/>
          <w:b/>
          <w:szCs w:val="22"/>
        </w:rPr>
        <w:t>age 1</w:t>
      </w:r>
      <w:r w:rsidR="00530D6D">
        <w:rPr>
          <w:rFonts w:cs="Arial"/>
          <w:b/>
          <w:szCs w:val="22"/>
        </w:rPr>
        <w:t xml:space="preserve"> </w:t>
      </w:r>
      <w:r w:rsidR="003532FD">
        <w:rPr>
          <w:rFonts w:cs="Arial"/>
          <w:b/>
          <w:szCs w:val="22"/>
        </w:rPr>
        <w:t>in</w:t>
      </w:r>
      <w:r w:rsidR="002A2117">
        <w:rPr>
          <w:rFonts w:cs="Arial"/>
          <w:b/>
          <w:szCs w:val="22"/>
        </w:rPr>
        <w:t xml:space="preserve"> the</w:t>
      </w:r>
      <w:r w:rsidR="00530D6D">
        <w:rPr>
          <w:rFonts w:cs="Arial"/>
          <w:b/>
          <w:szCs w:val="22"/>
        </w:rPr>
        <w:t xml:space="preserve"> </w:t>
      </w:r>
      <w:r w:rsidR="0015587D">
        <w:rPr>
          <w:rFonts w:cs="Arial"/>
          <w:b/>
          <w:szCs w:val="22"/>
        </w:rPr>
        <w:t xml:space="preserve">Tab 1 </w:t>
      </w:r>
      <w:r w:rsidR="002A2117">
        <w:rPr>
          <w:rFonts w:cs="Arial"/>
          <w:b/>
          <w:szCs w:val="22"/>
        </w:rPr>
        <w:t xml:space="preserve">section </w:t>
      </w:r>
      <w:r w:rsidR="0015587D">
        <w:rPr>
          <w:rFonts w:cs="Arial"/>
          <w:b/>
          <w:szCs w:val="22"/>
        </w:rPr>
        <w:t xml:space="preserve">of </w:t>
      </w:r>
      <w:r w:rsidR="005577B3">
        <w:rPr>
          <w:rFonts w:cs="Arial"/>
          <w:b/>
          <w:szCs w:val="22"/>
        </w:rPr>
        <w:t>their</w:t>
      </w:r>
      <w:r>
        <w:rPr>
          <w:rFonts w:cs="Arial"/>
          <w:b/>
          <w:szCs w:val="22"/>
        </w:rPr>
        <w:t xml:space="preserve"> P</w:t>
      </w:r>
      <w:r w:rsidRPr="002978C6">
        <w:rPr>
          <w:rFonts w:cs="Arial"/>
          <w:b/>
          <w:szCs w:val="22"/>
        </w:rPr>
        <w:t>roposal.</w:t>
      </w:r>
    </w:p>
    <w:p w14:paraId="574D06B5" w14:textId="77777777" w:rsidR="002978C6" w:rsidRPr="007A7F10" w:rsidRDefault="002978C6" w:rsidP="00947C39">
      <w:pPr>
        <w:rPr>
          <w:rFonts w:cs="Arial"/>
          <w:sz w:val="16"/>
          <w:szCs w:val="16"/>
        </w:rPr>
      </w:pPr>
    </w:p>
    <w:tbl>
      <w:tblPr>
        <w:tblW w:w="80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57"/>
        <w:gridCol w:w="1848"/>
      </w:tblGrid>
      <w:tr w:rsidR="00842D08" w:rsidRPr="00C2669A" w14:paraId="71F03150" w14:textId="77777777" w:rsidTr="00842D08">
        <w:trPr>
          <w:trHeight w:hRule="exact" w:val="360"/>
          <w:jc w:val="center"/>
        </w:trPr>
        <w:tc>
          <w:tcPr>
            <w:tcW w:w="6157" w:type="dxa"/>
            <w:tcBorders>
              <w:top w:val="single" w:sz="12" w:space="0" w:color="auto"/>
              <w:left w:val="single" w:sz="12" w:space="0" w:color="auto"/>
            </w:tcBorders>
          </w:tcPr>
          <w:p w14:paraId="41072BA4" w14:textId="77777777" w:rsidR="00842D08" w:rsidRPr="00C2669A" w:rsidRDefault="00842D08" w:rsidP="00947C39">
            <w:pPr>
              <w:spacing w:before="120" w:after="120"/>
              <w:rPr>
                <w:rFonts w:cs="Arial"/>
                <w:szCs w:val="22"/>
              </w:rPr>
            </w:pPr>
          </w:p>
        </w:tc>
        <w:tc>
          <w:tcPr>
            <w:tcW w:w="1848" w:type="dxa"/>
            <w:tcBorders>
              <w:top w:val="single" w:sz="12" w:space="0" w:color="auto"/>
            </w:tcBorders>
          </w:tcPr>
          <w:p w14:paraId="4B21FCE8" w14:textId="77777777" w:rsidR="00842D08" w:rsidRPr="00C2669A" w:rsidRDefault="00842D08" w:rsidP="00947C39">
            <w:pPr>
              <w:spacing w:before="120" w:after="120"/>
              <w:rPr>
                <w:rFonts w:cs="Arial"/>
                <w:szCs w:val="22"/>
              </w:rPr>
            </w:pPr>
          </w:p>
        </w:tc>
      </w:tr>
      <w:tr w:rsidR="00842D08" w:rsidRPr="00C2669A" w14:paraId="18F7196A" w14:textId="77777777" w:rsidTr="00842D08">
        <w:trPr>
          <w:trHeight w:hRule="exact" w:val="360"/>
          <w:jc w:val="center"/>
        </w:trPr>
        <w:tc>
          <w:tcPr>
            <w:tcW w:w="6157" w:type="dxa"/>
            <w:tcBorders>
              <w:left w:val="single" w:sz="12" w:space="0" w:color="auto"/>
              <w:bottom w:val="single" w:sz="4" w:space="0" w:color="auto"/>
            </w:tcBorders>
          </w:tcPr>
          <w:p w14:paraId="26A0AC85" w14:textId="77777777" w:rsidR="00842D08" w:rsidRPr="00C2669A" w:rsidRDefault="00530D6D" w:rsidP="00947C39">
            <w:pPr>
              <w:spacing w:before="120" w:after="120"/>
              <w:rPr>
                <w:rFonts w:cs="Arial"/>
                <w:szCs w:val="22"/>
              </w:rPr>
            </w:pPr>
            <w:r>
              <w:rPr>
                <w:rFonts w:cs="Arial"/>
                <w:szCs w:val="22"/>
              </w:rPr>
              <w:t>Proposer’s Company Name:</w:t>
            </w:r>
          </w:p>
        </w:tc>
        <w:tc>
          <w:tcPr>
            <w:tcW w:w="1848" w:type="dxa"/>
            <w:tcBorders>
              <w:bottom w:val="single" w:sz="4" w:space="0" w:color="auto"/>
            </w:tcBorders>
          </w:tcPr>
          <w:p w14:paraId="7D0737DD" w14:textId="77777777" w:rsidR="00842D08" w:rsidRPr="00C2669A" w:rsidRDefault="00842D08" w:rsidP="00947C39">
            <w:pPr>
              <w:spacing w:before="120" w:after="120"/>
              <w:rPr>
                <w:rFonts w:cs="Arial"/>
                <w:szCs w:val="22"/>
              </w:rPr>
            </w:pPr>
          </w:p>
        </w:tc>
      </w:tr>
      <w:tr w:rsidR="00842D08" w:rsidRPr="00C2669A" w14:paraId="1631E69F" w14:textId="77777777" w:rsidTr="00842D08">
        <w:trPr>
          <w:trHeight w:hRule="exact" w:val="360"/>
          <w:jc w:val="center"/>
        </w:trPr>
        <w:tc>
          <w:tcPr>
            <w:tcW w:w="6157" w:type="dxa"/>
            <w:tcBorders>
              <w:top w:val="single" w:sz="4" w:space="0" w:color="auto"/>
              <w:left w:val="single" w:sz="12" w:space="0" w:color="auto"/>
              <w:bottom w:val="nil"/>
            </w:tcBorders>
          </w:tcPr>
          <w:p w14:paraId="5A96C25C" w14:textId="77777777" w:rsidR="00842D08" w:rsidRPr="00C2669A" w:rsidRDefault="00842D08" w:rsidP="00947C39">
            <w:pPr>
              <w:spacing w:before="120" w:after="120"/>
              <w:rPr>
                <w:rFonts w:cs="Arial"/>
                <w:szCs w:val="22"/>
              </w:rPr>
            </w:pPr>
          </w:p>
        </w:tc>
        <w:tc>
          <w:tcPr>
            <w:tcW w:w="1848" w:type="dxa"/>
            <w:tcBorders>
              <w:top w:val="single" w:sz="4" w:space="0" w:color="auto"/>
              <w:bottom w:val="nil"/>
            </w:tcBorders>
          </w:tcPr>
          <w:p w14:paraId="64AB2EDE" w14:textId="77777777" w:rsidR="00842D08" w:rsidRPr="00C2669A" w:rsidRDefault="00842D08" w:rsidP="00947C39">
            <w:pPr>
              <w:spacing w:before="120" w:after="120"/>
              <w:rPr>
                <w:rFonts w:cs="Arial"/>
                <w:szCs w:val="22"/>
              </w:rPr>
            </w:pPr>
          </w:p>
        </w:tc>
      </w:tr>
      <w:tr w:rsidR="00842D08" w:rsidRPr="00C2669A" w14:paraId="5052DB1C" w14:textId="77777777" w:rsidTr="00842D08">
        <w:trPr>
          <w:trHeight w:hRule="exact" w:val="360"/>
          <w:jc w:val="center"/>
        </w:trPr>
        <w:tc>
          <w:tcPr>
            <w:tcW w:w="6157" w:type="dxa"/>
            <w:tcBorders>
              <w:left w:val="single" w:sz="12" w:space="0" w:color="auto"/>
              <w:bottom w:val="single" w:sz="4" w:space="0" w:color="auto"/>
            </w:tcBorders>
          </w:tcPr>
          <w:p w14:paraId="136931CA" w14:textId="77777777" w:rsidR="00842D08" w:rsidRPr="00C2669A" w:rsidRDefault="00530D6D" w:rsidP="00947C39">
            <w:pPr>
              <w:spacing w:before="120" w:after="120"/>
              <w:rPr>
                <w:rFonts w:cs="Arial"/>
                <w:szCs w:val="22"/>
              </w:rPr>
            </w:pPr>
            <w:r w:rsidRPr="00C2669A">
              <w:rPr>
                <w:rFonts w:cs="Arial"/>
                <w:szCs w:val="22"/>
              </w:rPr>
              <w:t xml:space="preserve">Authorized </w:t>
            </w:r>
            <w:r w:rsidR="005577B3">
              <w:rPr>
                <w:rFonts w:cs="Arial"/>
                <w:szCs w:val="22"/>
              </w:rPr>
              <w:t xml:space="preserve">Person (Printed </w:t>
            </w:r>
            <w:r w:rsidRPr="00C2669A">
              <w:rPr>
                <w:rFonts w:cs="Arial"/>
                <w:szCs w:val="22"/>
              </w:rPr>
              <w:t>Name</w:t>
            </w:r>
            <w:r w:rsidR="005577B3">
              <w:rPr>
                <w:rFonts w:cs="Arial"/>
                <w:szCs w:val="22"/>
              </w:rPr>
              <w:t xml:space="preserve"> and Title)</w:t>
            </w:r>
            <w:r>
              <w:rPr>
                <w:rFonts w:cs="Arial"/>
                <w:szCs w:val="22"/>
              </w:rPr>
              <w:t>:</w:t>
            </w:r>
          </w:p>
        </w:tc>
        <w:tc>
          <w:tcPr>
            <w:tcW w:w="1848" w:type="dxa"/>
            <w:tcBorders>
              <w:bottom w:val="single" w:sz="4" w:space="0" w:color="auto"/>
            </w:tcBorders>
          </w:tcPr>
          <w:p w14:paraId="45A7C58F" w14:textId="77777777" w:rsidR="00842D08" w:rsidRPr="00C2669A" w:rsidRDefault="00842D08" w:rsidP="00947C39">
            <w:pPr>
              <w:spacing w:before="120" w:after="120"/>
              <w:rPr>
                <w:rFonts w:cs="Arial"/>
                <w:szCs w:val="22"/>
              </w:rPr>
            </w:pPr>
          </w:p>
        </w:tc>
      </w:tr>
      <w:tr w:rsidR="00842D08" w:rsidRPr="00C2669A" w14:paraId="2DE4FDD5" w14:textId="77777777" w:rsidTr="00842D08">
        <w:trPr>
          <w:trHeight w:hRule="exact" w:val="360"/>
          <w:jc w:val="center"/>
        </w:trPr>
        <w:tc>
          <w:tcPr>
            <w:tcW w:w="6157" w:type="dxa"/>
            <w:tcBorders>
              <w:top w:val="single" w:sz="4" w:space="0" w:color="auto"/>
              <w:left w:val="single" w:sz="12" w:space="0" w:color="auto"/>
              <w:bottom w:val="nil"/>
            </w:tcBorders>
          </w:tcPr>
          <w:p w14:paraId="15ACAB0C" w14:textId="77777777" w:rsidR="00842D08" w:rsidRPr="00C2669A" w:rsidRDefault="00842D08" w:rsidP="00947C39">
            <w:pPr>
              <w:spacing w:before="120" w:after="120"/>
              <w:rPr>
                <w:rFonts w:cs="Arial"/>
                <w:szCs w:val="22"/>
              </w:rPr>
            </w:pPr>
          </w:p>
        </w:tc>
        <w:tc>
          <w:tcPr>
            <w:tcW w:w="1848" w:type="dxa"/>
            <w:tcBorders>
              <w:top w:val="single" w:sz="4" w:space="0" w:color="auto"/>
              <w:bottom w:val="nil"/>
            </w:tcBorders>
          </w:tcPr>
          <w:p w14:paraId="1C2AB817" w14:textId="77777777" w:rsidR="00842D08" w:rsidRPr="00C2669A" w:rsidRDefault="00842D08" w:rsidP="00947C39">
            <w:pPr>
              <w:spacing w:before="120" w:after="120"/>
              <w:rPr>
                <w:rFonts w:cs="Arial"/>
                <w:szCs w:val="22"/>
              </w:rPr>
            </w:pPr>
          </w:p>
        </w:tc>
      </w:tr>
      <w:tr w:rsidR="00842D08" w:rsidRPr="00C2669A" w14:paraId="548398C2" w14:textId="77777777" w:rsidTr="00530D6D">
        <w:trPr>
          <w:trHeight w:hRule="exact" w:val="360"/>
          <w:jc w:val="center"/>
        </w:trPr>
        <w:tc>
          <w:tcPr>
            <w:tcW w:w="6157" w:type="dxa"/>
            <w:tcBorders>
              <w:left w:val="single" w:sz="12" w:space="0" w:color="auto"/>
              <w:bottom w:val="single" w:sz="4" w:space="0" w:color="auto"/>
            </w:tcBorders>
          </w:tcPr>
          <w:p w14:paraId="44EAA60D" w14:textId="77777777" w:rsidR="00842D08" w:rsidRPr="00C2669A" w:rsidRDefault="00530D6D" w:rsidP="00947C39">
            <w:pPr>
              <w:spacing w:before="120" w:after="120"/>
              <w:rPr>
                <w:rFonts w:cs="Arial"/>
                <w:szCs w:val="22"/>
              </w:rPr>
            </w:pPr>
            <w:r w:rsidRPr="00C2669A">
              <w:rPr>
                <w:rFonts w:cs="Arial"/>
                <w:szCs w:val="22"/>
              </w:rPr>
              <w:t xml:space="preserve">Authorized </w:t>
            </w:r>
            <w:r w:rsidR="005577B3">
              <w:rPr>
                <w:rFonts w:cs="Arial"/>
                <w:szCs w:val="22"/>
              </w:rPr>
              <w:t xml:space="preserve">Person’s </w:t>
            </w:r>
            <w:r w:rsidRPr="00C2669A">
              <w:rPr>
                <w:rFonts w:cs="Arial"/>
                <w:szCs w:val="22"/>
              </w:rPr>
              <w:t>Signature</w:t>
            </w:r>
            <w:r>
              <w:rPr>
                <w:rFonts w:cs="Arial"/>
                <w:szCs w:val="22"/>
              </w:rPr>
              <w:t>:</w:t>
            </w:r>
          </w:p>
        </w:tc>
        <w:tc>
          <w:tcPr>
            <w:tcW w:w="1848" w:type="dxa"/>
            <w:tcBorders>
              <w:bottom w:val="single" w:sz="4" w:space="0" w:color="auto"/>
            </w:tcBorders>
          </w:tcPr>
          <w:p w14:paraId="78F11A1C" w14:textId="77777777" w:rsidR="00842D08" w:rsidRPr="00C2669A" w:rsidRDefault="00842D08" w:rsidP="00947C39">
            <w:pPr>
              <w:spacing w:before="120" w:after="120"/>
              <w:rPr>
                <w:rFonts w:cs="Arial"/>
                <w:szCs w:val="22"/>
              </w:rPr>
            </w:pPr>
          </w:p>
        </w:tc>
      </w:tr>
      <w:tr w:rsidR="00842D08" w:rsidRPr="00C2669A" w14:paraId="5115E20C" w14:textId="77777777" w:rsidTr="00842D08">
        <w:trPr>
          <w:jc w:val="center"/>
        </w:trPr>
        <w:tc>
          <w:tcPr>
            <w:tcW w:w="6157" w:type="dxa"/>
            <w:tcBorders>
              <w:top w:val="single" w:sz="4" w:space="0" w:color="auto"/>
              <w:left w:val="single" w:sz="12" w:space="0" w:color="auto"/>
              <w:bottom w:val="single" w:sz="12" w:space="0" w:color="auto"/>
            </w:tcBorders>
          </w:tcPr>
          <w:p w14:paraId="57883C97" w14:textId="77777777" w:rsidR="00842D08" w:rsidRPr="00C2669A" w:rsidRDefault="00842D08" w:rsidP="00947C39">
            <w:pPr>
              <w:spacing w:before="120" w:after="120"/>
              <w:rPr>
                <w:rFonts w:cs="Arial"/>
                <w:szCs w:val="22"/>
              </w:rPr>
            </w:pPr>
          </w:p>
        </w:tc>
        <w:tc>
          <w:tcPr>
            <w:tcW w:w="1848" w:type="dxa"/>
            <w:tcBorders>
              <w:top w:val="single" w:sz="4" w:space="0" w:color="auto"/>
              <w:bottom w:val="single" w:sz="12" w:space="0" w:color="auto"/>
            </w:tcBorders>
          </w:tcPr>
          <w:p w14:paraId="20895F33" w14:textId="77777777" w:rsidR="00842D08" w:rsidRPr="00C2669A" w:rsidRDefault="00530D6D" w:rsidP="00947C39">
            <w:pPr>
              <w:spacing w:before="120" w:after="120"/>
              <w:rPr>
                <w:rFonts w:cs="Arial"/>
                <w:szCs w:val="22"/>
              </w:rPr>
            </w:pPr>
            <w:r>
              <w:rPr>
                <w:rFonts w:cs="Arial"/>
                <w:szCs w:val="22"/>
              </w:rPr>
              <w:t>Date</w:t>
            </w:r>
          </w:p>
        </w:tc>
      </w:tr>
    </w:tbl>
    <w:p w14:paraId="4F8DBAE1" w14:textId="77777777" w:rsidR="00A93D29" w:rsidRDefault="00A93D29" w:rsidP="00947C39">
      <w:pPr>
        <w:rPr>
          <w:rFonts w:cs="Arial"/>
          <w:b/>
          <w:szCs w:val="22"/>
        </w:rPr>
      </w:pPr>
    </w:p>
    <w:p w14:paraId="0B471F63" w14:textId="77777777" w:rsidR="008D1EA3" w:rsidRDefault="008D1EA3" w:rsidP="00947C39">
      <w:pPr>
        <w:rPr>
          <w:rFonts w:cs="Arial"/>
          <w:b/>
        </w:rPr>
      </w:pPr>
      <w:r w:rsidRPr="00F61D3A">
        <w:rPr>
          <w:rFonts w:cs="Arial"/>
          <w:b/>
        </w:rPr>
        <w:t>Please note the following updates to RFP ET</w:t>
      </w:r>
      <w:r>
        <w:rPr>
          <w:rFonts w:cs="Arial"/>
          <w:b/>
        </w:rPr>
        <w:t>H00</w:t>
      </w:r>
      <w:r w:rsidR="00DE2238">
        <w:rPr>
          <w:rFonts w:cs="Arial"/>
          <w:b/>
        </w:rPr>
        <w:t>52-54</w:t>
      </w:r>
      <w:r w:rsidRPr="00F61D3A">
        <w:rPr>
          <w:rFonts w:cs="Arial"/>
          <w:b/>
        </w:rPr>
        <w:t>:</w:t>
      </w:r>
    </w:p>
    <w:p w14:paraId="428BBDAE" w14:textId="77777777" w:rsidR="00DE2238" w:rsidRDefault="00DE2238" w:rsidP="00DE2238">
      <w:pPr>
        <w:spacing w:after="120"/>
        <w:ind w:left="360" w:hanging="360"/>
      </w:pPr>
    </w:p>
    <w:p w14:paraId="42FE9A62" w14:textId="3904D204" w:rsidR="005577B3" w:rsidRPr="000B71C1" w:rsidRDefault="002A2117" w:rsidP="00947C39">
      <w:pPr>
        <w:ind w:left="360" w:hanging="360"/>
        <w:rPr>
          <w:szCs w:val="22"/>
        </w:rPr>
      </w:pPr>
      <w:r>
        <w:rPr>
          <w:b/>
          <w:szCs w:val="22"/>
        </w:rPr>
        <w:t>1</w:t>
      </w:r>
      <w:r w:rsidR="005577B3" w:rsidRPr="000B71C1">
        <w:rPr>
          <w:b/>
          <w:szCs w:val="22"/>
        </w:rPr>
        <w:t>.</w:t>
      </w:r>
      <w:r w:rsidR="005577B3" w:rsidRPr="000B71C1">
        <w:rPr>
          <w:szCs w:val="22"/>
        </w:rPr>
        <w:t xml:space="preserve"> </w:t>
      </w:r>
      <w:r w:rsidR="008E12EA">
        <w:rPr>
          <w:szCs w:val="22"/>
        </w:rPr>
        <w:tab/>
      </w:r>
      <w:r w:rsidR="005577B3" w:rsidRPr="000B71C1">
        <w:rPr>
          <w:b/>
          <w:szCs w:val="22"/>
          <w:u w:val="single"/>
        </w:rPr>
        <w:t>ADD</w:t>
      </w:r>
      <w:r w:rsidR="005577B3" w:rsidRPr="000B71C1">
        <w:rPr>
          <w:szCs w:val="22"/>
        </w:rPr>
        <w:t xml:space="preserve"> </w:t>
      </w:r>
      <w:r w:rsidR="00D3210A" w:rsidRPr="000B71C1">
        <w:rPr>
          <w:szCs w:val="22"/>
        </w:rPr>
        <w:t xml:space="preserve">to the RFP </w:t>
      </w:r>
      <w:r w:rsidR="005577B3" w:rsidRPr="000B71C1">
        <w:rPr>
          <w:szCs w:val="22"/>
        </w:rPr>
        <w:t xml:space="preserve">the following </w:t>
      </w:r>
      <w:r>
        <w:rPr>
          <w:szCs w:val="22"/>
        </w:rPr>
        <w:t xml:space="preserve">vendor </w:t>
      </w:r>
      <w:r w:rsidR="005577B3" w:rsidRPr="000B71C1">
        <w:rPr>
          <w:szCs w:val="22"/>
        </w:rPr>
        <w:t>questions</w:t>
      </w:r>
      <w:r w:rsidR="00D3210A" w:rsidRPr="000B71C1">
        <w:rPr>
          <w:szCs w:val="22"/>
        </w:rPr>
        <w:t xml:space="preserve"> regarding RFP ET</w:t>
      </w:r>
      <w:r>
        <w:rPr>
          <w:szCs w:val="22"/>
        </w:rPr>
        <w:t>J0048</w:t>
      </w:r>
      <w:r w:rsidR="005577B3" w:rsidRPr="000B71C1">
        <w:rPr>
          <w:szCs w:val="22"/>
        </w:rPr>
        <w:t xml:space="preserve"> and answers from </w:t>
      </w:r>
      <w:r w:rsidR="00D3210A" w:rsidRPr="000B71C1">
        <w:rPr>
          <w:szCs w:val="22"/>
        </w:rPr>
        <w:t>the Department</w:t>
      </w:r>
      <w:r w:rsidR="005577B3" w:rsidRPr="000B71C1">
        <w:rPr>
          <w:szCs w:val="22"/>
        </w:rPr>
        <w:t xml:space="preserve">:  </w:t>
      </w:r>
    </w:p>
    <w:p w14:paraId="3C758974" w14:textId="77777777" w:rsidR="00F02439" w:rsidRDefault="00F02439" w:rsidP="00947C39">
      <w:pPr>
        <w:rPr>
          <w:rFonts w:cs="Arial"/>
          <w:b/>
          <w:szCs w:val="22"/>
        </w:rPr>
      </w:pPr>
    </w:p>
    <w:p w14:paraId="12B1B2E6" w14:textId="77777777" w:rsidR="00576065" w:rsidRPr="007A7F10" w:rsidRDefault="00576065" w:rsidP="00576065">
      <w:pPr>
        <w:pStyle w:val="CcList"/>
        <w:ind w:left="0" w:firstLine="0"/>
        <w:rPr>
          <w:rFonts w:cs="Arial"/>
          <w:b/>
          <w:bCs/>
          <w:sz w:val="22"/>
          <w:szCs w:val="22"/>
        </w:rPr>
      </w:pPr>
      <w:r w:rsidRPr="007A7F10">
        <w:rPr>
          <w:rFonts w:eastAsia="Calibri" w:cs="Arial"/>
          <w:b/>
          <w:bCs/>
          <w:sz w:val="22"/>
          <w:szCs w:val="22"/>
        </w:rPr>
        <w:t xml:space="preserve">ETJ0048 Business Process Management </w:t>
      </w:r>
      <w:r w:rsidRPr="007A7F10">
        <w:rPr>
          <w:rFonts w:cs="Arial"/>
          <w:b/>
          <w:bCs/>
          <w:sz w:val="22"/>
          <w:szCs w:val="22"/>
        </w:rPr>
        <w:t>and Strategic Mapping Consulting Services</w:t>
      </w:r>
    </w:p>
    <w:p w14:paraId="2775E619" w14:textId="7DC0CBA3" w:rsidR="00576065" w:rsidRPr="007A7F10" w:rsidRDefault="00576065" w:rsidP="00576065">
      <w:pPr>
        <w:pStyle w:val="CcList"/>
        <w:ind w:left="0" w:firstLine="0"/>
        <w:rPr>
          <w:rFonts w:eastAsia="Calibri" w:cs="Arial"/>
          <w:b/>
          <w:bCs/>
          <w:sz w:val="22"/>
          <w:szCs w:val="22"/>
        </w:rPr>
      </w:pPr>
      <w:r w:rsidRPr="007A7F10">
        <w:rPr>
          <w:rFonts w:eastAsia="Calibri" w:cs="Arial"/>
          <w:b/>
          <w:bCs/>
          <w:sz w:val="22"/>
          <w:szCs w:val="22"/>
        </w:rPr>
        <w:t xml:space="preserve">Vendor Questions / </w:t>
      </w:r>
      <w:r w:rsidR="007A7F10">
        <w:rPr>
          <w:rFonts w:eastAsia="Calibri" w:cs="Arial"/>
          <w:b/>
          <w:bCs/>
          <w:sz w:val="22"/>
          <w:szCs w:val="22"/>
        </w:rPr>
        <w:t>Department</w:t>
      </w:r>
      <w:r w:rsidRPr="007A7F10">
        <w:rPr>
          <w:rFonts w:eastAsia="Calibri" w:cs="Arial"/>
          <w:b/>
          <w:bCs/>
          <w:sz w:val="22"/>
          <w:szCs w:val="22"/>
        </w:rPr>
        <w:t xml:space="preserve"> Answers</w:t>
      </w: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0"/>
        <w:gridCol w:w="810"/>
        <w:gridCol w:w="2340"/>
        <w:gridCol w:w="4410"/>
      </w:tblGrid>
      <w:tr w:rsidR="00576065" w:rsidRPr="00576065" w14:paraId="27CEC723" w14:textId="77777777" w:rsidTr="007A7F10">
        <w:tc>
          <w:tcPr>
            <w:tcW w:w="540" w:type="dxa"/>
            <w:shd w:val="clear" w:color="auto" w:fill="2F5496"/>
          </w:tcPr>
          <w:p w14:paraId="03CE63F3" w14:textId="77777777" w:rsidR="00576065" w:rsidRPr="00576065" w:rsidRDefault="00576065" w:rsidP="000C1C4C">
            <w:pPr>
              <w:pStyle w:val="CcList"/>
              <w:ind w:left="0" w:firstLine="0"/>
              <w:rPr>
                <w:rFonts w:eastAsia="Calibri" w:cs="Arial"/>
                <w:b/>
                <w:bCs/>
                <w:color w:val="FFFFFF"/>
              </w:rPr>
            </w:pPr>
            <w:r w:rsidRPr="00576065">
              <w:rPr>
                <w:rFonts w:eastAsia="Calibri" w:cs="Arial"/>
                <w:b/>
                <w:bCs/>
                <w:color w:val="FFFFFF"/>
              </w:rPr>
              <w:t>Q#</w:t>
            </w:r>
          </w:p>
        </w:tc>
        <w:tc>
          <w:tcPr>
            <w:tcW w:w="1800" w:type="dxa"/>
            <w:shd w:val="clear" w:color="auto" w:fill="2F5496"/>
          </w:tcPr>
          <w:p w14:paraId="1FDD14C1" w14:textId="77777777" w:rsidR="00576065" w:rsidRPr="00576065" w:rsidRDefault="00576065" w:rsidP="000C1C4C">
            <w:pPr>
              <w:pStyle w:val="CcList"/>
              <w:ind w:left="0" w:firstLine="0"/>
              <w:rPr>
                <w:rFonts w:eastAsia="Calibri" w:cs="Arial"/>
                <w:b/>
                <w:bCs/>
                <w:color w:val="FFFFFF"/>
              </w:rPr>
            </w:pPr>
            <w:r w:rsidRPr="00576065">
              <w:rPr>
                <w:rFonts w:eastAsia="Calibri" w:cs="Arial"/>
                <w:b/>
                <w:bCs/>
                <w:color w:val="FFFFFF"/>
              </w:rPr>
              <w:t>RFP/Attachment/Section</w:t>
            </w:r>
          </w:p>
        </w:tc>
        <w:tc>
          <w:tcPr>
            <w:tcW w:w="810" w:type="dxa"/>
            <w:shd w:val="clear" w:color="auto" w:fill="2F5496"/>
          </w:tcPr>
          <w:p w14:paraId="7F7201C8" w14:textId="77777777" w:rsidR="00576065" w:rsidRPr="00576065" w:rsidRDefault="00576065" w:rsidP="000C1C4C">
            <w:pPr>
              <w:pStyle w:val="CcList"/>
              <w:ind w:left="0" w:firstLine="0"/>
              <w:rPr>
                <w:rFonts w:eastAsia="Calibri" w:cs="Arial"/>
                <w:b/>
                <w:bCs/>
                <w:color w:val="FFFFFF"/>
              </w:rPr>
            </w:pPr>
            <w:r w:rsidRPr="00576065">
              <w:rPr>
                <w:rFonts w:eastAsia="Calibri" w:cs="Arial"/>
                <w:b/>
                <w:bCs/>
                <w:color w:val="FFFFFF"/>
              </w:rPr>
              <w:t>Page#</w:t>
            </w:r>
          </w:p>
        </w:tc>
        <w:tc>
          <w:tcPr>
            <w:tcW w:w="2340" w:type="dxa"/>
            <w:shd w:val="clear" w:color="auto" w:fill="2F5496"/>
          </w:tcPr>
          <w:p w14:paraId="53BB5568" w14:textId="77777777" w:rsidR="00576065" w:rsidRPr="00576065" w:rsidRDefault="00576065" w:rsidP="000C1C4C">
            <w:pPr>
              <w:pStyle w:val="CcList"/>
              <w:ind w:left="0" w:firstLine="0"/>
              <w:rPr>
                <w:rFonts w:eastAsia="Calibri" w:cs="Arial"/>
                <w:b/>
                <w:bCs/>
                <w:color w:val="FFFFFF"/>
              </w:rPr>
            </w:pPr>
            <w:r w:rsidRPr="00576065">
              <w:rPr>
                <w:rFonts w:eastAsia="Calibri" w:cs="Arial"/>
                <w:b/>
                <w:bCs/>
                <w:color w:val="FFFFFF"/>
              </w:rPr>
              <w:t>Proposer Question/Rationale</w:t>
            </w:r>
          </w:p>
        </w:tc>
        <w:tc>
          <w:tcPr>
            <w:tcW w:w="4410" w:type="dxa"/>
            <w:shd w:val="clear" w:color="auto" w:fill="2F5496"/>
          </w:tcPr>
          <w:p w14:paraId="54C86B72" w14:textId="77777777" w:rsidR="00576065" w:rsidRPr="00576065" w:rsidRDefault="00576065" w:rsidP="000C1C4C">
            <w:pPr>
              <w:pStyle w:val="CcList"/>
              <w:ind w:left="0" w:firstLine="0"/>
              <w:rPr>
                <w:rFonts w:eastAsia="Calibri" w:cs="Arial"/>
                <w:b/>
                <w:bCs/>
                <w:color w:val="FFFFFF"/>
              </w:rPr>
            </w:pPr>
            <w:r w:rsidRPr="00576065">
              <w:rPr>
                <w:rFonts w:eastAsia="Calibri" w:cs="Arial"/>
                <w:b/>
                <w:bCs/>
                <w:color w:val="FFFFFF"/>
              </w:rPr>
              <w:t>Department Answer</w:t>
            </w:r>
          </w:p>
        </w:tc>
      </w:tr>
      <w:tr w:rsidR="00576065" w:rsidRPr="00576065" w14:paraId="5F64D31A" w14:textId="77777777" w:rsidTr="007A7F10">
        <w:tc>
          <w:tcPr>
            <w:tcW w:w="540" w:type="dxa"/>
            <w:shd w:val="clear" w:color="auto" w:fill="D9E2F3"/>
          </w:tcPr>
          <w:p w14:paraId="42BA5192"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1</w:t>
            </w:r>
          </w:p>
        </w:tc>
        <w:tc>
          <w:tcPr>
            <w:tcW w:w="1800" w:type="dxa"/>
            <w:shd w:val="clear" w:color="auto" w:fill="D9E2F3"/>
          </w:tcPr>
          <w:p w14:paraId="00D82F4D" w14:textId="77777777" w:rsidR="00576065" w:rsidRPr="00576065" w:rsidRDefault="00576065" w:rsidP="00576065">
            <w:pPr>
              <w:rPr>
                <w:rFonts w:cs="Arial"/>
                <w:color w:val="000000"/>
                <w:sz w:val="20"/>
              </w:rPr>
            </w:pPr>
            <w:r w:rsidRPr="00576065">
              <w:rPr>
                <w:rFonts w:cs="Arial"/>
                <w:color w:val="000000"/>
                <w:sz w:val="20"/>
              </w:rPr>
              <w:t>Appendix 2 sections 1.0 &amp; 1.5</w:t>
            </w:r>
          </w:p>
        </w:tc>
        <w:tc>
          <w:tcPr>
            <w:tcW w:w="810" w:type="dxa"/>
            <w:shd w:val="clear" w:color="auto" w:fill="D9E2F3"/>
          </w:tcPr>
          <w:p w14:paraId="009B479C" w14:textId="5F275C22" w:rsidR="00576065" w:rsidRPr="00576065" w:rsidRDefault="00576065" w:rsidP="00576065">
            <w:pPr>
              <w:rPr>
                <w:rFonts w:cs="Arial"/>
                <w:color w:val="000000"/>
                <w:sz w:val="20"/>
              </w:rPr>
            </w:pPr>
            <w:r w:rsidRPr="00576065">
              <w:rPr>
                <w:rFonts w:cs="Arial"/>
                <w:color w:val="000000"/>
                <w:sz w:val="20"/>
              </w:rPr>
              <w:t>4</w:t>
            </w:r>
            <w:r>
              <w:rPr>
                <w:rFonts w:cs="Arial"/>
                <w:color w:val="000000"/>
                <w:sz w:val="20"/>
              </w:rPr>
              <w:t xml:space="preserve">, </w:t>
            </w:r>
            <w:r w:rsidRPr="00576065">
              <w:rPr>
                <w:rFonts w:cs="Arial"/>
                <w:color w:val="000000"/>
                <w:sz w:val="20"/>
              </w:rPr>
              <w:t>10</w:t>
            </w:r>
          </w:p>
        </w:tc>
        <w:tc>
          <w:tcPr>
            <w:tcW w:w="2340" w:type="dxa"/>
            <w:shd w:val="clear" w:color="auto" w:fill="D9E2F3"/>
          </w:tcPr>
          <w:p w14:paraId="6016ECB6" w14:textId="28A29E80" w:rsidR="00576065" w:rsidRPr="00576065" w:rsidRDefault="00576065" w:rsidP="00576065">
            <w:pPr>
              <w:rPr>
                <w:rFonts w:cs="Arial"/>
                <w:color w:val="000000"/>
                <w:sz w:val="20"/>
              </w:rPr>
            </w:pPr>
            <w:r w:rsidRPr="00576065">
              <w:rPr>
                <w:rFonts w:cs="Arial"/>
                <w:color w:val="000000"/>
                <w:sz w:val="20"/>
              </w:rPr>
              <w:t xml:space="preserve">Please clarify the expected project schedule to be used for all </w:t>
            </w:r>
            <w:proofErr w:type="gramStart"/>
            <w:r w:rsidRPr="00576065">
              <w:rPr>
                <w:rFonts w:cs="Arial"/>
                <w:color w:val="000000"/>
                <w:sz w:val="20"/>
              </w:rPr>
              <w:t>services?</w:t>
            </w:r>
            <w:proofErr w:type="gramEnd"/>
            <w:r w:rsidRPr="00576065">
              <w:rPr>
                <w:rFonts w:cs="Arial"/>
                <w:color w:val="000000"/>
                <w:sz w:val="20"/>
              </w:rPr>
              <w:t xml:space="preserve"> (Section 1.0 states two years with a June to July annual cycle and section 1.5 states four years with a January to December cycle.</w:t>
            </w:r>
          </w:p>
        </w:tc>
        <w:tc>
          <w:tcPr>
            <w:tcW w:w="4410" w:type="dxa"/>
            <w:shd w:val="clear" w:color="auto" w:fill="D9E2F3"/>
          </w:tcPr>
          <w:p w14:paraId="6A83DA91" w14:textId="77777777" w:rsidR="00576065" w:rsidRPr="00576065" w:rsidRDefault="00576065" w:rsidP="00576065">
            <w:pPr>
              <w:pStyle w:val="CcList"/>
              <w:ind w:left="0" w:firstLine="0"/>
              <w:jc w:val="left"/>
              <w:rPr>
                <w:rFonts w:eastAsia="Calibri" w:cs="Arial"/>
              </w:rPr>
            </w:pPr>
            <w:r w:rsidRPr="00576065">
              <w:rPr>
                <w:rFonts w:eastAsia="Calibri" w:cs="Arial"/>
              </w:rPr>
              <w:t xml:space="preserve">The schedule of the engagement will be determined jointly by the Department and the Contractor once the contract is executed. Appendix 2, Section 1.0 lists the fiscal years in which the services will be provided. Appendix 2, Section 1.5 lists the expected project schedule for delivery of the services. The timeframes referenced in RFP Section 1.10 reflect the initial term of the contract and optional renewal periods. Use the estimated schedule for the provision of the services in Appendix 2, Section 1.10.  </w:t>
            </w:r>
          </w:p>
        </w:tc>
      </w:tr>
      <w:tr w:rsidR="00576065" w:rsidRPr="00576065" w14:paraId="7627C515" w14:textId="77777777" w:rsidTr="007A7F10">
        <w:tc>
          <w:tcPr>
            <w:tcW w:w="540" w:type="dxa"/>
            <w:shd w:val="clear" w:color="auto" w:fill="auto"/>
          </w:tcPr>
          <w:p w14:paraId="3A0371E6" w14:textId="77777777" w:rsidR="00576065" w:rsidRPr="00576065" w:rsidRDefault="00576065" w:rsidP="00576065">
            <w:pPr>
              <w:pStyle w:val="CcList"/>
              <w:ind w:left="0" w:firstLine="0"/>
              <w:jc w:val="left"/>
              <w:rPr>
                <w:rFonts w:eastAsia="Calibri" w:cs="Arial"/>
                <w:b/>
                <w:bCs/>
              </w:rPr>
            </w:pPr>
            <w:r w:rsidRPr="00576065">
              <w:rPr>
                <w:rFonts w:eastAsia="Calibri" w:cs="Arial"/>
                <w:b/>
                <w:bCs/>
              </w:rPr>
              <w:lastRenderedPageBreak/>
              <w:t>2</w:t>
            </w:r>
          </w:p>
        </w:tc>
        <w:tc>
          <w:tcPr>
            <w:tcW w:w="1800" w:type="dxa"/>
            <w:shd w:val="clear" w:color="auto" w:fill="auto"/>
          </w:tcPr>
          <w:p w14:paraId="31355C26" w14:textId="77777777" w:rsidR="00576065" w:rsidRPr="00576065" w:rsidRDefault="00576065" w:rsidP="00576065">
            <w:pPr>
              <w:rPr>
                <w:rFonts w:cs="Arial"/>
                <w:color w:val="000000"/>
                <w:sz w:val="20"/>
              </w:rPr>
            </w:pPr>
            <w:r w:rsidRPr="00576065">
              <w:rPr>
                <w:rFonts w:cs="Arial"/>
                <w:color w:val="000000"/>
                <w:sz w:val="20"/>
              </w:rPr>
              <w:t>Appendix 1 section 1.0 question 1.2</w:t>
            </w:r>
          </w:p>
        </w:tc>
        <w:tc>
          <w:tcPr>
            <w:tcW w:w="810" w:type="dxa"/>
            <w:shd w:val="clear" w:color="auto" w:fill="auto"/>
          </w:tcPr>
          <w:p w14:paraId="671CDE3E" w14:textId="77777777" w:rsidR="00576065" w:rsidRPr="00576065" w:rsidRDefault="00576065" w:rsidP="00576065">
            <w:pPr>
              <w:rPr>
                <w:rFonts w:cs="Arial"/>
                <w:color w:val="000000"/>
                <w:sz w:val="20"/>
              </w:rPr>
            </w:pPr>
            <w:r w:rsidRPr="00576065">
              <w:rPr>
                <w:rFonts w:cs="Arial"/>
                <w:color w:val="000000"/>
                <w:sz w:val="20"/>
              </w:rPr>
              <w:t>1</w:t>
            </w:r>
          </w:p>
        </w:tc>
        <w:tc>
          <w:tcPr>
            <w:tcW w:w="2340" w:type="dxa"/>
            <w:shd w:val="clear" w:color="auto" w:fill="auto"/>
          </w:tcPr>
          <w:p w14:paraId="5986D274" w14:textId="77777777" w:rsidR="00576065" w:rsidRPr="00576065" w:rsidRDefault="00576065" w:rsidP="00576065">
            <w:pPr>
              <w:rPr>
                <w:rFonts w:cs="Arial"/>
                <w:color w:val="000000"/>
                <w:sz w:val="20"/>
              </w:rPr>
            </w:pPr>
            <w:r w:rsidRPr="00576065">
              <w:rPr>
                <w:rFonts w:cs="Arial"/>
                <w:color w:val="000000"/>
                <w:sz w:val="20"/>
              </w:rPr>
              <w:t xml:space="preserve">Please explain why </w:t>
            </w:r>
            <w:proofErr w:type="gramStart"/>
            <w:r w:rsidRPr="00576065">
              <w:rPr>
                <w:rFonts w:cs="Arial"/>
                <w:color w:val="000000"/>
                <w:sz w:val="20"/>
              </w:rPr>
              <w:t>must the proposer</w:t>
            </w:r>
            <w:proofErr w:type="gramEnd"/>
            <w:r w:rsidRPr="00576065">
              <w:rPr>
                <w:rFonts w:cs="Arial"/>
                <w:color w:val="000000"/>
                <w:sz w:val="20"/>
              </w:rPr>
              <w:t xml:space="preserve"> have 10 </w:t>
            </w:r>
            <w:proofErr w:type="spellStart"/>
            <w:r w:rsidRPr="00576065">
              <w:rPr>
                <w:rFonts w:cs="Arial"/>
                <w:color w:val="000000"/>
                <w:sz w:val="20"/>
              </w:rPr>
              <w:t>years experience</w:t>
            </w:r>
            <w:proofErr w:type="spellEnd"/>
            <w:r w:rsidRPr="00576065">
              <w:rPr>
                <w:rFonts w:cs="Arial"/>
                <w:color w:val="000000"/>
                <w:sz w:val="20"/>
              </w:rPr>
              <w:t xml:space="preserve"> conducting all of the requested services with Public Pension Funds?</w:t>
            </w:r>
          </w:p>
        </w:tc>
        <w:tc>
          <w:tcPr>
            <w:tcW w:w="4410" w:type="dxa"/>
            <w:shd w:val="clear" w:color="auto" w:fill="auto"/>
          </w:tcPr>
          <w:p w14:paraId="2444957E" w14:textId="77777777" w:rsidR="00576065" w:rsidRPr="00576065" w:rsidRDefault="00576065" w:rsidP="00576065">
            <w:pPr>
              <w:pStyle w:val="CcList"/>
              <w:ind w:left="0" w:firstLine="0"/>
              <w:jc w:val="left"/>
              <w:rPr>
                <w:rFonts w:eastAsia="Calibri" w:cs="Arial"/>
              </w:rPr>
            </w:pPr>
            <w:r w:rsidRPr="00576065">
              <w:rPr>
                <w:rFonts w:eastAsia="Calibri" w:cs="Arial"/>
              </w:rPr>
              <w:t xml:space="preserve">The Department asks for this level of relative government pension experience due to the unique nuances of large public pension funds, and legislative and regulatory issues that are differentiators from public sector and other health and financial industries.    </w:t>
            </w:r>
          </w:p>
        </w:tc>
      </w:tr>
      <w:tr w:rsidR="00576065" w:rsidRPr="00576065" w14:paraId="4CAA0D0B" w14:textId="77777777" w:rsidTr="007A7F10">
        <w:tc>
          <w:tcPr>
            <w:tcW w:w="540" w:type="dxa"/>
            <w:shd w:val="clear" w:color="auto" w:fill="D9E2F3"/>
          </w:tcPr>
          <w:p w14:paraId="6EC0AD50"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3</w:t>
            </w:r>
          </w:p>
        </w:tc>
        <w:tc>
          <w:tcPr>
            <w:tcW w:w="1800" w:type="dxa"/>
            <w:shd w:val="clear" w:color="auto" w:fill="D9E2F3"/>
          </w:tcPr>
          <w:p w14:paraId="70C5CB79" w14:textId="77777777" w:rsidR="00576065" w:rsidRPr="00576065" w:rsidRDefault="00576065" w:rsidP="00576065">
            <w:pPr>
              <w:rPr>
                <w:rFonts w:cs="Arial"/>
                <w:color w:val="000000"/>
                <w:sz w:val="20"/>
              </w:rPr>
            </w:pPr>
            <w:r w:rsidRPr="00576065">
              <w:rPr>
                <w:rFonts w:cs="Arial"/>
                <w:color w:val="000000"/>
                <w:sz w:val="20"/>
              </w:rPr>
              <w:t> </w:t>
            </w:r>
          </w:p>
        </w:tc>
        <w:tc>
          <w:tcPr>
            <w:tcW w:w="810" w:type="dxa"/>
            <w:shd w:val="clear" w:color="auto" w:fill="D9E2F3"/>
          </w:tcPr>
          <w:p w14:paraId="6F1BD312" w14:textId="77777777" w:rsidR="00576065" w:rsidRPr="00576065" w:rsidRDefault="00576065" w:rsidP="00576065">
            <w:pPr>
              <w:rPr>
                <w:rFonts w:cs="Arial"/>
                <w:color w:val="000000"/>
                <w:sz w:val="20"/>
              </w:rPr>
            </w:pPr>
            <w:r w:rsidRPr="00576065">
              <w:rPr>
                <w:rFonts w:cs="Arial"/>
                <w:color w:val="000000"/>
                <w:sz w:val="20"/>
              </w:rPr>
              <w:t> </w:t>
            </w:r>
          </w:p>
        </w:tc>
        <w:tc>
          <w:tcPr>
            <w:tcW w:w="2340" w:type="dxa"/>
            <w:shd w:val="clear" w:color="auto" w:fill="D9E2F3"/>
          </w:tcPr>
          <w:p w14:paraId="197D4BF5" w14:textId="77777777" w:rsidR="00576065" w:rsidRPr="00576065" w:rsidRDefault="00576065" w:rsidP="00576065">
            <w:pPr>
              <w:rPr>
                <w:rFonts w:cs="Arial"/>
                <w:color w:val="000000"/>
                <w:sz w:val="20"/>
              </w:rPr>
            </w:pPr>
            <w:r w:rsidRPr="00576065">
              <w:rPr>
                <w:rFonts w:cs="Arial"/>
                <w:color w:val="000000"/>
                <w:sz w:val="20"/>
              </w:rPr>
              <w:t xml:space="preserve">If the proposer have 10 </w:t>
            </w:r>
            <w:proofErr w:type="spellStart"/>
            <w:r w:rsidRPr="00576065">
              <w:rPr>
                <w:rFonts w:cs="Arial"/>
                <w:color w:val="000000"/>
                <w:sz w:val="20"/>
              </w:rPr>
              <w:t>years experience</w:t>
            </w:r>
            <w:proofErr w:type="spellEnd"/>
            <w:r w:rsidRPr="00576065">
              <w:rPr>
                <w:rFonts w:cs="Arial"/>
                <w:color w:val="000000"/>
                <w:sz w:val="20"/>
              </w:rPr>
              <w:t xml:space="preserve"> conducting all of the requested services with Public Pension Funds, will they be disqualified?</w:t>
            </w:r>
          </w:p>
        </w:tc>
        <w:tc>
          <w:tcPr>
            <w:tcW w:w="4410" w:type="dxa"/>
            <w:shd w:val="clear" w:color="auto" w:fill="D9E2F3"/>
          </w:tcPr>
          <w:p w14:paraId="76D7B790" w14:textId="71C0625F" w:rsidR="00576065" w:rsidRPr="00576065" w:rsidRDefault="00576065" w:rsidP="00576065">
            <w:pPr>
              <w:pStyle w:val="CcList"/>
              <w:ind w:left="0" w:firstLine="0"/>
              <w:jc w:val="left"/>
              <w:rPr>
                <w:rFonts w:eastAsia="Calibri" w:cs="Arial"/>
              </w:rPr>
            </w:pPr>
            <w:r w:rsidRPr="00576065">
              <w:rPr>
                <w:rFonts w:eastAsia="Calibri" w:cs="Arial"/>
              </w:rPr>
              <w:t xml:space="preserve">The Department assumes the vendor meant to write “If the proposer does not have 10 years of experience conducting all of the requested services with public pension funds, will they be disqualified?” The Department’s answer to that question is </w:t>
            </w:r>
            <w:r w:rsidR="007A7F10">
              <w:rPr>
                <w:rFonts w:eastAsia="Calibri" w:cs="Arial"/>
              </w:rPr>
              <w:t>Yes</w:t>
            </w:r>
            <w:r w:rsidRPr="00576065">
              <w:rPr>
                <w:rFonts w:eastAsia="Calibri" w:cs="Arial"/>
              </w:rPr>
              <w:t xml:space="preserve">. </w:t>
            </w:r>
          </w:p>
        </w:tc>
      </w:tr>
      <w:tr w:rsidR="00576065" w:rsidRPr="00576065" w14:paraId="47BD8CDA" w14:textId="77777777" w:rsidTr="007A7F10">
        <w:tc>
          <w:tcPr>
            <w:tcW w:w="540" w:type="dxa"/>
            <w:shd w:val="clear" w:color="auto" w:fill="auto"/>
          </w:tcPr>
          <w:p w14:paraId="32C3310B"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4</w:t>
            </w:r>
          </w:p>
        </w:tc>
        <w:tc>
          <w:tcPr>
            <w:tcW w:w="1800" w:type="dxa"/>
            <w:shd w:val="clear" w:color="auto" w:fill="auto"/>
          </w:tcPr>
          <w:p w14:paraId="053D48DE" w14:textId="77777777" w:rsidR="00576065" w:rsidRPr="00576065" w:rsidRDefault="00576065" w:rsidP="00576065">
            <w:pPr>
              <w:rPr>
                <w:rFonts w:cs="Arial"/>
                <w:color w:val="000000"/>
                <w:sz w:val="20"/>
              </w:rPr>
            </w:pPr>
            <w:r w:rsidRPr="00576065">
              <w:rPr>
                <w:rFonts w:cs="Arial"/>
                <w:color w:val="000000"/>
                <w:sz w:val="20"/>
              </w:rPr>
              <w:t> </w:t>
            </w:r>
          </w:p>
        </w:tc>
        <w:tc>
          <w:tcPr>
            <w:tcW w:w="810" w:type="dxa"/>
            <w:shd w:val="clear" w:color="auto" w:fill="auto"/>
          </w:tcPr>
          <w:p w14:paraId="1B212645" w14:textId="77777777" w:rsidR="00576065" w:rsidRPr="00576065" w:rsidRDefault="00576065" w:rsidP="00576065">
            <w:pPr>
              <w:rPr>
                <w:rFonts w:cs="Arial"/>
                <w:color w:val="000000"/>
                <w:sz w:val="20"/>
              </w:rPr>
            </w:pPr>
            <w:r w:rsidRPr="00576065">
              <w:rPr>
                <w:rFonts w:cs="Arial"/>
                <w:color w:val="000000"/>
                <w:sz w:val="20"/>
              </w:rPr>
              <w:t> </w:t>
            </w:r>
          </w:p>
        </w:tc>
        <w:tc>
          <w:tcPr>
            <w:tcW w:w="2340" w:type="dxa"/>
            <w:shd w:val="clear" w:color="auto" w:fill="auto"/>
          </w:tcPr>
          <w:p w14:paraId="61C5F2B1" w14:textId="77777777" w:rsidR="00576065" w:rsidRPr="00576065" w:rsidRDefault="00576065" w:rsidP="00576065">
            <w:pPr>
              <w:rPr>
                <w:rFonts w:cs="Arial"/>
                <w:color w:val="000000"/>
                <w:sz w:val="20"/>
              </w:rPr>
            </w:pPr>
            <w:r w:rsidRPr="00576065">
              <w:rPr>
                <w:rFonts w:cs="Arial"/>
                <w:color w:val="000000"/>
                <w:sz w:val="20"/>
              </w:rPr>
              <w:t>Please explain why there is no minority participation requirements?</w:t>
            </w:r>
          </w:p>
        </w:tc>
        <w:tc>
          <w:tcPr>
            <w:tcW w:w="4410" w:type="dxa"/>
            <w:shd w:val="clear" w:color="auto" w:fill="auto"/>
          </w:tcPr>
          <w:p w14:paraId="01FC510A" w14:textId="77777777" w:rsidR="00576065" w:rsidRPr="00576065" w:rsidRDefault="00576065" w:rsidP="00576065">
            <w:pPr>
              <w:pStyle w:val="CcList"/>
              <w:ind w:left="0" w:firstLine="0"/>
              <w:jc w:val="left"/>
              <w:rPr>
                <w:rFonts w:eastAsia="Calibri" w:cs="Arial"/>
              </w:rPr>
            </w:pPr>
            <w:r w:rsidRPr="00576065">
              <w:rPr>
                <w:rFonts w:eastAsia="Calibri" w:cs="Arial"/>
              </w:rPr>
              <w:t xml:space="preserve">See RFP Appendix 3, Department Terms and Conditions, Section 2.0, Compliance with Contract and Applicable Law. If this does not answer your question, please provide more explanation on what you mean by “minority participation requirements.”  </w:t>
            </w:r>
          </w:p>
        </w:tc>
      </w:tr>
      <w:tr w:rsidR="00576065" w:rsidRPr="00576065" w14:paraId="7D949D58" w14:textId="77777777" w:rsidTr="007A7F10">
        <w:tc>
          <w:tcPr>
            <w:tcW w:w="540" w:type="dxa"/>
            <w:shd w:val="clear" w:color="auto" w:fill="D9E2F3"/>
          </w:tcPr>
          <w:p w14:paraId="4DD16515"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5</w:t>
            </w:r>
          </w:p>
        </w:tc>
        <w:tc>
          <w:tcPr>
            <w:tcW w:w="1800" w:type="dxa"/>
            <w:shd w:val="clear" w:color="auto" w:fill="D9E2F3"/>
          </w:tcPr>
          <w:p w14:paraId="751FB7F5" w14:textId="77777777" w:rsidR="00576065" w:rsidRPr="00576065" w:rsidRDefault="00576065" w:rsidP="00576065">
            <w:pPr>
              <w:rPr>
                <w:rFonts w:cs="Arial"/>
                <w:color w:val="000000"/>
                <w:sz w:val="20"/>
              </w:rPr>
            </w:pPr>
            <w:r w:rsidRPr="00576065">
              <w:rPr>
                <w:rFonts w:cs="Arial"/>
                <w:color w:val="000000"/>
                <w:sz w:val="20"/>
              </w:rPr>
              <w:t> </w:t>
            </w:r>
          </w:p>
        </w:tc>
        <w:tc>
          <w:tcPr>
            <w:tcW w:w="810" w:type="dxa"/>
            <w:shd w:val="clear" w:color="auto" w:fill="D9E2F3"/>
          </w:tcPr>
          <w:p w14:paraId="5CE13055" w14:textId="77777777" w:rsidR="00576065" w:rsidRPr="00576065" w:rsidRDefault="00576065" w:rsidP="00576065">
            <w:pPr>
              <w:rPr>
                <w:rFonts w:cs="Arial"/>
                <w:color w:val="000000"/>
                <w:sz w:val="20"/>
              </w:rPr>
            </w:pPr>
            <w:r w:rsidRPr="00576065">
              <w:rPr>
                <w:rFonts w:cs="Arial"/>
                <w:color w:val="000000"/>
                <w:sz w:val="20"/>
              </w:rPr>
              <w:t> </w:t>
            </w:r>
          </w:p>
        </w:tc>
        <w:tc>
          <w:tcPr>
            <w:tcW w:w="2340" w:type="dxa"/>
            <w:shd w:val="clear" w:color="auto" w:fill="D9E2F3"/>
          </w:tcPr>
          <w:p w14:paraId="4608104F" w14:textId="77777777" w:rsidR="00576065" w:rsidRPr="00576065" w:rsidRDefault="00576065" w:rsidP="00576065">
            <w:pPr>
              <w:rPr>
                <w:rFonts w:cs="Arial"/>
                <w:color w:val="000000"/>
                <w:sz w:val="20"/>
              </w:rPr>
            </w:pPr>
            <w:r w:rsidRPr="00576065">
              <w:rPr>
                <w:rFonts w:cs="Arial"/>
                <w:color w:val="000000"/>
                <w:sz w:val="20"/>
              </w:rPr>
              <w:t xml:space="preserve">Please explain why there wasn't a </w:t>
            </w:r>
            <w:proofErr w:type="spellStart"/>
            <w:r w:rsidRPr="00576065">
              <w:rPr>
                <w:rFonts w:cs="Arial"/>
                <w:color w:val="000000"/>
                <w:sz w:val="20"/>
              </w:rPr>
              <w:t>prebid</w:t>
            </w:r>
            <w:proofErr w:type="spellEnd"/>
            <w:r w:rsidRPr="00576065">
              <w:rPr>
                <w:rFonts w:cs="Arial"/>
                <w:color w:val="000000"/>
                <w:sz w:val="20"/>
              </w:rPr>
              <w:t xml:space="preserve"> conference?</w:t>
            </w:r>
          </w:p>
        </w:tc>
        <w:tc>
          <w:tcPr>
            <w:tcW w:w="4410" w:type="dxa"/>
            <w:shd w:val="clear" w:color="auto" w:fill="D9E2F3"/>
          </w:tcPr>
          <w:p w14:paraId="3E6681F6" w14:textId="77777777" w:rsidR="00576065" w:rsidRPr="00576065" w:rsidRDefault="00576065" w:rsidP="00576065">
            <w:pPr>
              <w:pStyle w:val="CcList"/>
              <w:ind w:left="0" w:firstLine="0"/>
              <w:jc w:val="left"/>
              <w:rPr>
                <w:rFonts w:eastAsia="Calibri" w:cs="Arial"/>
              </w:rPr>
            </w:pPr>
            <w:r w:rsidRPr="00576065">
              <w:rPr>
                <w:rFonts w:eastAsia="Calibri" w:cs="Arial"/>
              </w:rPr>
              <w:t xml:space="preserve">Pre-bid conferences are not required, and the Department doesn’t normally hold them. The Department believes the vendor question submission procedure eliminates the need for vendor pre-bid conferences.  </w:t>
            </w:r>
          </w:p>
        </w:tc>
      </w:tr>
      <w:tr w:rsidR="00576065" w:rsidRPr="00576065" w14:paraId="0B2D2445" w14:textId="77777777" w:rsidTr="007A7F10">
        <w:tc>
          <w:tcPr>
            <w:tcW w:w="540" w:type="dxa"/>
            <w:shd w:val="clear" w:color="auto" w:fill="auto"/>
          </w:tcPr>
          <w:p w14:paraId="49653726"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6</w:t>
            </w:r>
          </w:p>
        </w:tc>
        <w:tc>
          <w:tcPr>
            <w:tcW w:w="1800" w:type="dxa"/>
            <w:shd w:val="clear" w:color="auto" w:fill="auto"/>
          </w:tcPr>
          <w:p w14:paraId="4B018226" w14:textId="77777777" w:rsidR="00576065" w:rsidRPr="00576065" w:rsidRDefault="00576065" w:rsidP="00576065">
            <w:pPr>
              <w:rPr>
                <w:rFonts w:cs="Arial"/>
                <w:color w:val="000000"/>
                <w:sz w:val="20"/>
              </w:rPr>
            </w:pPr>
            <w:r w:rsidRPr="00576065">
              <w:rPr>
                <w:rFonts w:cs="Arial"/>
                <w:color w:val="000000"/>
                <w:sz w:val="20"/>
              </w:rPr>
              <w:t> </w:t>
            </w:r>
          </w:p>
        </w:tc>
        <w:tc>
          <w:tcPr>
            <w:tcW w:w="810" w:type="dxa"/>
            <w:shd w:val="clear" w:color="auto" w:fill="auto"/>
          </w:tcPr>
          <w:p w14:paraId="13EAC160" w14:textId="77777777" w:rsidR="00576065" w:rsidRPr="00576065" w:rsidRDefault="00576065" w:rsidP="00576065">
            <w:pPr>
              <w:rPr>
                <w:rFonts w:cs="Arial"/>
                <w:color w:val="000000"/>
                <w:sz w:val="20"/>
              </w:rPr>
            </w:pPr>
            <w:r w:rsidRPr="00576065">
              <w:rPr>
                <w:rFonts w:cs="Arial"/>
                <w:color w:val="000000"/>
                <w:sz w:val="20"/>
              </w:rPr>
              <w:t>Forms A - G</w:t>
            </w:r>
          </w:p>
        </w:tc>
        <w:tc>
          <w:tcPr>
            <w:tcW w:w="2340" w:type="dxa"/>
            <w:shd w:val="clear" w:color="auto" w:fill="auto"/>
          </w:tcPr>
          <w:p w14:paraId="300943FC" w14:textId="01A766B3" w:rsidR="00576065" w:rsidRPr="00576065" w:rsidRDefault="00576065" w:rsidP="00576065">
            <w:pPr>
              <w:rPr>
                <w:rFonts w:cs="Arial"/>
                <w:color w:val="000000"/>
                <w:sz w:val="20"/>
              </w:rPr>
            </w:pPr>
            <w:r w:rsidRPr="00576065">
              <w:rPr>
                <w:rFonts w:cs="Arial"/>
                <w:color w:val="000000"/>
                <w:sz w:val="20"/>
              </w:rPr>
              <w:t xml:space="preserve">Is a typed signature acceptable? The forms are locked and only allow typed names.  </w:t>
            </w:r>
          </w:p>
        </w:tc>
        <w:tc>
          <w:tcPr>
            <w:tcW w:w="4410" w:type="dxa"/>
            <w:shd w:val="clear" w:color="auto" w:fill="auto"/>
          </w:tcPr>
          <w:p w14:paraId="6E81F8A7" w14:textId="77777777" w:rsidR="00576065" w:rsidRPr="00576065" w:rsidRDefault="00576065" w:rsidP="00576065">
            <w:pPr>
              <w:pStyle w:val="CcList"/>
              <w:ind w:left="0" w:firstLine="0"/>
              <w:jc w:val="left"/>
              <w:rPr>
                <w:rFonts w:eastAsia="Calibri" w:cs="Arial"/>
              </w:rPr>
            </w:pPr>
            <w:r w:rsidRPr="00576065">
              <w:rPr>
                <w:rFonts w:eastAsia="Calibri" w:cs="Arial"/>
              </w:rPr>
              <w:t xml:space="preserve">Yes, however, you can copy and paste a .pdf or .bmp file signature into the text box. </w:t>
            </w:r>
          </w:p>
        </w:tc>
      </w:tr>
      <w:tr w:rsidR="00576065" w:rsidRPr="00576065" w14:paraId="10678A21" w14:textId="77777777" w:rsidTr="007A7F10">
        <w:tc>
          <w:tcPr>
            <w:tcW w:w="540" w:type="dxa"/>
            <w:shd w:val="clear" w:color="auto" w:fill="D9E2F3"/>
          </w:tcPr>
          <w:p w14:paraId="5DD51972"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7</w:t>
            </w:r>
          </w:p>
        </w:tc>
        <w:tc>
          <w:tcPr>
            <w:tcW w:w="1800" w:type="dxa"/>
            <w:shd w:val="clear" w:color="auto" w:fill="D9E2F3"/>
          </w:tcPr>
          <w:p w14:paraId="533E14F6" w14:textId="77777777" w:rsidR="00576065" w:rsidRPr="00576065" w:rsidRDefault="00576065" w:rsidP="00576065">
            <w:pPr>
              <w:rPr>
                <w:rFonts w:cs="Arial"/>
                <w:color w:val="000000"/>
                <w:sz w:val="20"/>
              </w:rPr>
            </w:pPr>
            <w:r w:rsidRPr="00576065">
              <w:rPr>
                <w:rFonts w:cs="Arial"/>
                <w:color w:val="000000"/>
                <w:sz w:val="20"/>
              </w:rPr>
              <w:t> </w:t>
            </w:r>
          </w:p>
        </w:tc>
        <w:tc>
          <w:tcPr>
            <w:tcW w:w="810" w:type="dxa"/>
            <w:shd w:val="clear" w:color="auto" w:fill="D9E2F3"/>
          </w:tcPr>
          <w:p w14:paraId="0FB70673" w14:textId="77777777" w:rsidR="00576065" w:rsidRPr="00576065" w:rsidRDefault="00576065" w:rsidP="00576065">
            <w:pPr>
              <w:rPr>
                <w:rFonts w:cs="Arial"/>
                <w:color w:val="000000"/>
                <w:sz w:val="20"/>
              </w:rPr>
            </w:pPr>
            <w:r w:rsidRPr="00576065">
              <w:rPr>
                <w:rFonts w:cs="Arial"/>
                <w:color w:val="000000"/>
                <w:sz w:val="20"/>
              </w:rPr>
              <w:t> </w:t>
            </w:r>
          </w:p>
        </w:tc>
        <w:tc>
          <w:tcPr>
            <w:tcW w:w="2340" w:type="dxa"/>
            <w:shd w:val="clear" w:color="auto" w:fill="D9E2F3"/>
          </w:tcPr>
          <w:p w14:paraId="7B7F1E86" w14:textId="77777777" w:rsidR="00576065" w:rsidRPr="00576065" w:rsidRDefault="00576065" w:rsidP="00576065">
            <w:pPr>
              <w:rPr>
                <w:rFonts w:cs="Arial"/>
                <w:color w:val="000000"/>
                <w:sz w:val="20"/>
              </w:rPr>
            </w:pPr>
            <w:r w:rsidRPr="00576065">
              <w:rPr>
                <w:rFonts w:cs="Arial"/>
                <w:color w:val="000000"/>
                <w:sz w:val="20"/>
              </w:rPr>
              <w:t>Is the company who assisted in writing the RFP precluded from responding to this RFP?</w:t>
            </w:r>
          </w:p>
        </w:tc>
        <w:tc>
          <w:tcPr>
            <w:tcW w:w="4410" w:type="dxa"/>
            <w:shd w:val="clear" w:color="auto" w:fill="D9E2F3"/>
          </w:tcPr>
          <w:p w14:paraId="56C2F616" w14:textId="77777777" w:rsidR="00576065" w:rsidRPr="00576065" w:rsidRDefault="00576065" w:rsidP="00576065">
            <w:pPr>
              <w:pStyle w:val="CcList"/>
              <w:ind w:left="0" w:firstLine="0"/>
              <w:jc w:val="left"/>
              <w:rPr>
                <w:rFonts w:eastAsia="Calibri" w:cs="Arial"/>
              </w:rPr>
            </w:pPr>
            <w:r w:rsidRPr="00576065">
              <w:rPr>
                <w:rFonts w:eastAsia="Calibri" w:cs="Arial"/>
              </w:rPr>
              <w:t>No company assisted the Department in drafting the RFP.</w:t>
            </w:r>
          </w:p>
        </w:tc>
      </w:tr>
      <w:tr w:rsidR="00576065" w:rsidRPr="00576065" w14:paraId="00D0553A" w14:textId="77777777" w:rsidTr="007A7F10">
        <w:tc>
          <w:tcPr>
            <w:tcW w:w="540" w:type="dxa"/>
            <w:shd w:val="clear" w:color="auto" w:fill="auto"/>
          </w:tcPr>
          <w:p w14:paraId="6F2AC92F"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8</w:t>
            </w:r>
          </w:p>
        </w:tc>
        <w:tc>
          <w:tcPr>
            <w:tcW w:w="1800" w:type="dxa"/>
            <w:shd w:val="clear" w:color="auto" w:fill="auto"/>
          </w:tcPr>
          <w:p w14:paraId="57750EED" w14:textId="77777777" w:rsidR="00576065" w:rsidRPr="00576065" w:rsidRDefault="00576065" w:rsidP="00576065">
            <w:pPr>
              <w:rPr>
                <w:rFonts w:cs="Arial"/>
                <w:color w:val="000000"/>
                <w:sz w:val="20"/>
              </w:rPr>
            </w:pPr>
            <w:r w:rsidRPr="00576065">
              <w:rPr>
                <w:rFonts w:cs="Arial"/>
                <w:color w:val="000000"/>
                <w:sz w:val="20"/>
              </w:rPr>
              <w:t> Appendix 1.3</w:t>
            </w:r>
          </w:p>
        </w:tc>
        <w:tc>
          <w:tcPr>
            <w:tcW w:w="810" w:type="dxa"/>
            <w:shd w:val="clear" w:color="auto" w:fill="auto"/>
          </w:tcPr>
          <w:p w14:paraId="40CA87DE" w14:textId="77777777" w:rsidR="00576065" w:rsidRPr="00576065" w:rsidRDefault="00576065" w:rsidP="00576065">
            <w:pPr>
              <w:rPr>
                <w:rFonts w:cs="Arial"/>
                <w:color w:val="000000"/>
                <w:sz w:val="20"/>
              </w:rPr>
            </w:pPr>
            <w:r w:rsidRPr="00576065">
              <w:rPr>
                <w:rFonts w:cs="Arial"/>
                <w:color w:val="000000"/>
                <w:sz w:val="20"/>
              </w:rPr>
              <w:t> 2</w:t>
            </w:r>
          </w:p>
        </w:tc>
        <w:tc>
          <w:tcPr>
            <w:tcW w:w="2340" w:type="dxa"/>
            <w:shd w:val="clear" w:color="auto" w:fill="auto"/>
          </w:tcPr>
          <w:p w14:paraId="34CB2D76" w14:textId="0E1B9E79" w:rsidR="00576065" w:rsidRPr="00576065" w:rsidRDefault="00576065" w:rsidP="00576065">
            <w:pPr>
              <w:rPr>
                <w:rFonts w:cs="Arial"/>
                <w:color w:val="000000"/>
                <w:sz w:val="20"/>
              </w:rPr>
            </w:pPr>
            <w:r w:rsidRPr="00576065">
              <w:rPr>
                <w:rFonts w:cs="Arial"/>
                <w:color w:val="000000"/>
                <w:sz w:val="20"/>
              </w:rPr>
              <w:t xml:space="preserve">Are non-audited financial statements acceptable?   </w:t>
            </w:r>
          </w:p>
        </w:tc>
        <w:tc>
          <w:tcPr>
            <w:tcW w:w="4410" w:type="dxa"/>
            <w:shd w:val="clear" w:color="auto" w:fill="auto"/>
          </w:tcPr>
          <w:p w14:paraId="719BCB3A" w14:textId="77777777" w:rsidR="00576065" w:rsidRPr="00576065" w:rsidRDefault="00576065" w:rsidP="00576065">
            <w:pPr>
              <w:pStyle w:val="CcList"/>
              <w:ind w:left="0" w:firstLine="0"/>
              <w:jc w:val="left"/>
              <w:rPr>
                <w:rFonts w:eastAsia="Calibri" w:cs="Arial"/>
              </w:rPr>
            </w:pPr>
            <w:r w:rsidRPr="00576065">
              <w:rPr>
                <w:rFonts w:eastAsia="Calibri" w:cs="Arial"/>
              </w:rPr>
              <w:t>Yes.</w:t>
            </w:r>
          </w:p>
        </w:tc>
      </w:tr>
      <w:tr w:rsidR="00576065" w:rsidRPr="00576065" w14:paraId="0D772FF2" w14:textId="77777777" w:rsidTr="007A7F10">
        <w:tc>
          <w:tcPr>
            <w:tcW w:w="540" w:type="dxa"/>
            <w:shd w:val="clear" w:color="auto" w:fill="D9E2F3"/>
          </w:tcPr>
          <w:p w14:paraId="53624DF0"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9</w:t>
            </w:r>
          </w:p>
        </w:tc>
        <w:tc>
          <w:tcPr>
            <w:tcW w:w="1800" w:type="dxa"/>
            <w:shd w:val="clear" w:color="auto" w:fill="D9E2F3"/>
          </w:tcPr>
          <w:p w14:paraId="7D54CF0B" w14:textId="77777777" w:rsidR="00576065" w:rsidRPr="00576065" w:rsidRDefault="00576065" w:rsidP="00576065">
            <w:pPr>
              <w:rPr>
                <w:rFonts w:cs="Arial"/>
                <w:sz w:val="20"/>
              </w:rPr>
            </w:pPr>
            <w:r w:rsidRPr="00576065">
              <w:rPr>
                <w:rFonts w:cs="Arial"/>
                <w:sz w:val="20"/>
              </w:rPr>
              <w:t>Appendix 1 – General Questionnaire, Section 1.2</w:t>
            </w:r>
          </w:p>
        </w:tc>
        <w:tc>
          <w:tcPr>
            <w:tcW w:w="810" w:type="dxa"/>
            <w:shd w:val="clear" w:color="auto" w:fill="D9E2F3"/>
          </w:tcPr>
          <w:p w14:paraId="3997E304" w14:textId="77777777" w:rsidR="00576065" w:rsidRPr="00576065" w:rsidRDefault="00576065" w:rsidP="00576065">
            <w:pPr>
              <w:rPr>
                <w:rFonts w:cs="Arial"/>
                <w:sz w:val="20"/>
              </w:rPr>
            </w:pPr>
            <w:r w:rsidRPr="00576065">
              <w:rPr>
                <w:rFonts w:cs="Arial"/>
                <w:sz w:val="20"/>
              </w:rPr>
              <w:t>1,2</w:t>
            </w:r>
          </w:p>
        </w:tc>
        <w:tc>
          <w:tcPr>
            <w:tcW w:w="2340" w:type="dxa"/>
            <w:shd w:val="clear" w:color="auto" w:fill="D9E2F3"/>
          </w:tcPr>
          <w:p w14:paraId="12ECDA69" w14:textId="77777777" w:rsidR="00576065" w:rsidRPr="00576065" w:rsidRDefault="00576065" w:rsidP="00576065">
            <w:pPr>
              <w:rPr>
                <w:rFonts w:cs="Arial"/>
                <w:sz w:val="20"/>
              </w:rPr>
            </w:pPr>
            <w:r w:rsidRPr="00576065">
              <w:rPr>
                <w:rFonts w:cs="Arial"/>
                <w:sz w:val="20"/>
              </w:rPr>
              <w:t>Would ETF consider adjusting the language from “Proposer must have at least 10 years of experience conducting all of the following with public pension funds” to “Proposer must have at least 10 years of experience conducting the following with public pension funds, financial services organizations, and financial regulatory entities” in order to incorporate experience and lessons learned from a broader set of clients?</w:t>
            </w:r>
          </w:p>
        </w:tc>
        <w:tc>
          <w:tcPr>
            <w:tcW w:w="4410" w:type="dxa"/>
            <w:shd w:val="clear" w:color="auto" w:fill="D9E2F3"/>
          </w:tcPr>
          <w:p w14:paraId="2383AC56" w14:textId="77777777" w:rsidR="00576065" w:rsidRPr="00576065" w:rsidRDefault="00576065" w:rsidP="00576065">
            <w:pPr>
              <w:pStyle w:val="CcList"/>
              <w:ind w:left="0" w:firstLine="0"/>
              <w:jc w:val="left"/>
              <w:rPr>
                <w:rFonts w:eastAsia="Calibri" w:cs="Arial"/>
              </w:rPr>
            </w:pPr>
            <w:r w:rsidRPr="00576065">
              <w:rPr>
                <w:rFonts w:eastAsia="Calibri" w:cs="Arial"/>
              </w:rPr>
              <w:t>No.</w:t>
            </w:r>
          </w:p>
        </w:tc>
      </w:tr>
      <w:tr w:rsidR="00576065" w:rsidRPr="00576065" w14:paraId="615CEE83" w14:textId="77777777" w:rsidTr="007A7F10">
        <w:trPr>
          <w:trHeight w:val="1421"/>
        </w:trPr>
        <w:tc>
          <w:tcPr>
            <w:tcW w:w="540" w:type="dxa"/>
            <w:shd w:val="clear" w:color="auto" w:fill="auto"/>
          </w:tcPr>
          <w:p w14:paraId="3076FC14" w14:textId="77777777" w:rsidR="00576065" w:rsidRPr="00576065" w:rsidRDefault="00576065" w:rsidP="00576065">
            <w:pPr>
              <w:pStyle w:val="CcList"/>
              <w:ind w:left="0" w:firstLine="0"/>
              <w:jc w:val="left"/>
              <w:rPr>
                <w:rFonts w:eastAsia="Calibri" w:cs="Arial"/>
                <w:b/>
                <w:bCs/>
              </w:rPr>
            </w:pPr>
            <w:r w:rsidRPr="00576065">
              <w:rPr>
                <w:rFonts w:eastAsia="Calibri" w:cs="Arial"/>
                <w:b/>
                <w:bCs/>
              </w:rPr>
              <w:lastRenderedPageBreak/>
              <w:t>10</w:t>
            </w:r>
          </w:p>
        </w:tc>
        <w:tc>
          <w:tcPr>
            <w:tcW w:w="1800" w:type="dxa"/>
            <w:shd w:val="clear" w:color="auto" w:fill="auto"/>
          </w:tcPr>
          <w:p w14:paraId="5FB168B3" w14:textId="77777777" w:rsidR="00576065" w:rsidRPr="00576065" w:rsidRDefault="00576065" w:rsidP="00576065">
            <w:pPr>
              <w:rPr>
                <w:rFonts w:cs="Arial"/>
                <w:sz w:val="20"/>
              </w:rPr>
            </w:pPr>
            <w:r w:rsidRPr="00576065">
              <w:rPr>
                <w:rFonts w:cs="Arial"/>
                <w:sz w:val="20"/>
              </w:rPr>
              <w:t>RFP General</w:t>
            </w:r>
          </w:p>
        </w:tc>
        <w:tc>
          <w:tcPr>
            <w:tcW w:w="810" w:type="dxa"/>
            <w:shd w:val="clear" w:color="auto" w:fill="auto"/>
          </w:tcPr>
          <w:p w14:paraId="340A8846" w14:textId="77777777" w:rsidR="00576065" w:rsidRPr="00576065" w:rsidRDefault="00576065" w:rsidP="00576065">
            <w:pPr>
              <w:rPr>
                <w:rFonts w:cs="Arial"/>
                <w:sz w:val="20"/>
              </w:rPr>
            </w:pPr>
          </w:p>
        </w:tc>
        <w:tc>
          <w:tcPr>
            <w:tcW w:w="2340" w:type="dxa"/>
            <w:shd w:val="clear" w:color="auto" w:fill="auto"/>
          </w:tcPr>
          <w:p w14:paraId="131AB8D4" w14:textId="77777777" w:rsidR="00576065" w:rsidRPr="00576065" w:rsidRDefault="00576065" w:rsidP="00576065">
            <w:pPr>
              <w:rPr>
                <w:rFonts w:cs="Arial"/>
                <w:sz w:val="20"/>
              </w:rPr>
            </w:pPr>
            <w:r w:rsidRPr="00576065">
              <w:rPr>
                <w:rFonts w:cs="Arial"/>
                <w:sz w:val="20"/>
              </w:rPr>
              <w:t>Are there any new updates (after 6/29/2017) to ETF Reports to Joint Committee on Finance?</w:t>
            </w:r>
          </w:p>
        </w:tc>
        <w:tc>
          <w:tcPr>
            <w:tcW w:w="4410" w:type="dxa"/>
            <w:shd w:val="clear" w:color="auto" w:fill="auto"/>
          </w:tcPr>
          <w:p w14:paraId="033156DD" w14:textId="66AF2496" w:rsidR="00576065" w:rsidRPr="00576065" w:rsidRDefault="00576065" w:rsidP="00576065">
            <w:pPr>
              <w:pStyle w:val="CcList"/>
              <w:ind w:left="0" w:firstLine="0"/>
              <w:jc w:val="left"/>
              <w:rPr>
                <w:rFonts w:eastAsia="Calibri" w:cs="Arial"/>
              </w:rPr>
            </w:pPr>
            <w:r w:rsidRPr="00576065">
              <w:rPr>
                <w:rFonts w:eastAsia="Calibri" w:cs="Arial"/>
              </w:rPr>
              <w:t xml:space="preserve">No. </w:t>
            </w:r>
            <w:r w:rsidR="00015A26">
              <w:rPr>
                <w:rFonts w:eastAsia="Calibri" w:cs="Arial"/>
              </w:rPr>
              <w:t xml:space="preserve">The </w:t>
            </w:r>
            <w:r w:rsidR="00015A26" w:rsidRPr="00576065">
              <w:rPr>
                <w:rFonts w:eastAsia="Calibri" w:cs="Arial"/>
              </w:rPr>
              <w:t>Department</w:t>
            </w:r>
            <w:r w:rsidRPr="00576065">
              <w:rPr>
                <w:rFonts w:eastAsia="Calibri" w:cs="Arial"/>
              </w:rPr>
              <w:t xml:space="preserve"> takes action on legislative requests and issues that affect the Wisconsin Retirement System and other ETF-administered programs. Updates are published on </w:t>
            </w:r>
            <w:r w:rsidR="00015A26">
              <w:rPr>
                <w:rFonts w:eastAsia="Calibri" w:cs="Arial"/>
              </w:rPr>
              <w:t xml:space="preserve">the </w:t>
            </w:r>
            <w:r w:rsidR="00015A26" w:rsidRPr="00576065">
              <w:rPr>
                <w:rFonts w:eastAsia="Calibri" w:cs="Arial"/>
              </w:rPr>
              <w:t>Department</w:t>
            </w:r>
            <w:r w:rsidR="00015A26">
              <w:rPr>
                <w:rFonts w:eastAsia="Calibri" w:cs="Arial"/>
              </w:rPr>
              <w:t>’s</w:t>
            </w:r>
            <w:r w:rsidRPr="00576065">
              <w:rPr>
                <w:rFonts w:eastAsia="Calibri" w:cs="Arial"/>
              </w:rPr>
              <w:t xml:space="preserve"> website:</w:t>
            </w:r>
            <w:r w:rsidRPr="00576065">
              <w:rPr>
                <w:rFonts w:cs="Arial"/>
              </w:rPr>
              <w:t xml:space="preserve"> </w:t>
            </w:r>
            <w:hyperlink r:id="rId8" w:history="1">
              <w:r w:rsidRPr="00576065">
                <w:rPr>
                  <w:rStyle w:val="Hyperlink"/>
                  <w:rFonts w:cs="Arial"/>
                </w:rPr>
                <w:t>https://etf.wi.gov/about-etf/</w:t>
              </w:r>
              <w:r w:rsidRPr="00576065">
                <w:rPr>
                  <w:rStyle w:val="Hyperlink"/>
                  <w:rFonts w:cs="Arial"/>
                </w:rPr>
                <w:t>g</w:t>
              </w:r>
              <w:r w:rsidRPr="00576065">
                <w:rPr>
                  <w:rStyle w:val="Hyperlink"/>
                  <w:rFonts w:cs="Arial"/>
                </w:rPr>
                <w:t>overnment-relations/action-items</w:t>
              </w:r>
            </w:hyperlink>
            <w:r w:rsidRPr="00576065">
              <w:rPr>
                <w:rFonts w:eastAsia="Calibri" w:cs="Arial"/>
              </w:rPr>
              <w:t xml:space="preserve"> </w:t>
            </w:r>
          </w:p>
          <w:p w14:paraId="16DE1875" w14:textId="77777777" w:rsidR="00576065" w:rsidRPr="00576065" w:rsidRDefault="00576065" w:rsidP="00576065">
            <w:pPr>
              <w:pStyle w:val="CcList"/>
              <w:ind w:left="0" w:firstLine="0"/>
              <w:jc w:val="left"/>
              <w:rPr>
                <w:rFonts w:eastAsia="Calibri" w:cs="Arial"/>
              </w:rPr>
            </w:pPr>
            <w:r w:rsidRPr="00576065">
              <w:rPr>
                <w:rFonts w:eastAsia="Calibri" w:cs="Arial"/>
              </w:rPr>
              <w:t xml:space="preserve">Also see: </w:t>
            </w:r>
            <w:hyperlink r:id="rId9" w:history="1">
              <w:r w:rsidRPr="00576065">
                <w:rPr>
                  <w:rStyle w:val="Hyperlink"/>
                  <w:rFonts w:cs="Arial"/>
                </w:rPr>
                <w:t>https://etf.wi.go</w:t>
              </w:r>
              <w:r w:rsidRPr="00576065">
                <w:rPr>
                  <w:rStyle w:val="Hyperlink"/>
                  <w:rFonts w:cs="Arial"/>
                </w:rPr>
                <w:t>v</w:t>
              </w:r>
              <w:r w:rsidRPr="00576065">
                <w:rPr>
                  <w:rStyle w:val="Hyperlink"/>
                  <w:rFonts w:cs="Arial"/>
                </w:rPr>
                <w:t>/news/legislative-update</w:t>
              </w:r>
            </w:hyperlink>
          </w:p>
        </w:tc>
      </w:tr>
      <w:tr w:rsidR="00576065" w:rsidRPr="00576065" w14:paraId="68C4C606" w14:textId="77777777" w:rsidTr="007A7F10">
        <w:trPr>
          <w:trHeight w:val="1025"/>
        </w:trPr>
        <w:tc>
          <w:tcPr>
            <w:tcW w:w="540" w:type="dxa"/>
            <w:shd w:val="clear" w:color="auto" w:fill="D9E2F3"/>
          </w:tcPr>
          <w:p w14:paraId="4536F64D"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11</w:t>
            </w:r>
          </w:p>
        </w:tc>
        <w:tc>
          <w:tcPr>
            <w:tcW w:w="1800" w:type="dxa"/>
            <w:shd w:val="clear" w:color="auto" w:fill="D9E2F3"/>
          </w:tcPr>
          <w:p w14:paraId="6893B239" w14:textId="77777777" w:rsidR="00576065" w:rsidRPr="00576065" w:rsidRDefault="00576065" w:rsidP="00576065">
            <w:pPr>
              <w:rPr>
                <w:rFonts w:cs="Arial"/>
                <w:sz w:val="20"/>
              </w:rPr>
            </w:pPr>
            <w:r w:rsidRPr="00576065">
              <w:rPr>
                <w:rFonts w:cs="Arial"/>
                <w:sz w:val="20"/>
              </w:rPr>
              <w:t>RFP General</w:t>
            </w:r>
          </w:p>
        </w:tc>
        <w:tc>
          <w:tcPr>
            <w:tcW w:w="810" w:type="dxa"/>
            <w:shd w:val="clear" w:color="auto" w:fill="D9E2F3"/>
          </w:tcPr>
          <w:p w14:paraId="05293523" w14:textId="77777777" w:rsidR="00576065" w:rsidRPr="00576065" w:rsidRDefault="00576065" w:rsidP="00576065">
            <w:pPr>
              <w:rPr>
                <w:rFonts w:cs="Arial"/>
                <w:sz w:val="20"/>
              </w:rPr>
            </w:pPr>
          </w:p>
        </w:tc>
        <w:tc>
          <w:tcPr>
            <w:tcW w:w="2340" w:type="dxa"/>
            <w:shd w:val="clear" w:color="auto" w:fill="D9E2F3"/>
          </w:tcPr>
          <w:p w14:paraId="18E83FEE" w14:textId="77777777" w:rsidR="00576065" w:rsidRPr="00576065" w:rsidRDefault="00576065" w:rsidP="00576065">
            <w:pPr>
              <w:rPr>
                <w:rFonts w:cs="Arial"/>
                <w:sz w:val="20"/>
              </w:rPr>
            </w:pPr>
            <w:r w:rsidRPr="00576065">
              <w:rPr>
                <w:rFonts w:cs="Arial"/>
                <w:sz w:val="20"/>
              </w:rPr>
              <w:t>Is there an update to the 7/21/2018 ETF Strategic Plan</w:t>
            </w:r>
          </w:p>
        </w:tc>
        <w:tc>
          <w:tcPr>
            <w:tcW w:w="4410" w:type="dxa"/>
            <w:shd w:val="clear" w:color="auto" w:fill="D9E2F3"/>
          </w:tcPr>
          <w:p w14:paraId="20E95A7D" w14:textId="48E5E77C" w:rsidR="00576065" w:rsidRPr="00576065" w:rsidRDefault="00576065" w:rsidP="00576065">
            <w:pPr>
              <w:pStyle w:val="CcList"/>
              <w:ind w:left="0" w:firstLine="0"/>
              <w:jc w:val="left"/>
              <w:rPr>
                <w:rFonts w:eastAsia="Calibri" w:cs="Arial"/>
              </w:rPr>
            </w:pPr>
            <w:r w:rsidRPr="00576065">
              <w:rPr>
                <w:rFonts w:eastAsia="Calibri" w:cs="Arial"/>
              </w:rPr>
              <w:t xml:space="preserve">On June 20, 2019 </w:t>
            </w:r>
            <w:r w:rsidR="00015A26">
              <w:rPr>
                <w:rFonts w:eastAsia="Calibri" w:cs="Arial"/>
              </w:rPr>
              <w:t xml:space="preserve">the </w:t>
            </w:r>
            <w:r w:rsidR="00015A26" w:rsidRPr="00576065">
              <w:rPr>
                <w:rFonts w:eastAsia="Calibri" w:cs="Arial"/>
              </w:rPr>
              <w:t>Department</w:t>
            </w:r>
            <w:r w:rsidRPr="00576065">
              <w:rPr>
                <w:rFonts w:eastAsia="Calibri" w:cs="Arial"/>
              </w:rPr>
              <w:t xml:space="preserve"> presented the </w:t>
            </w:r>
            <w:r w:rsidRPr="00576065">
              <w:rPr>
                <w:rFonts w:cs="Arial"/>
              </w:rPr>
              <w:t xml:space="preserve">Strategic Plan annual update at a joint meeting of </w:t>
            </w:r>
            <w:r w:rsidR="00015A26">
              <w:rPr>
                <w:rFonts w:cs="Arial"/>
              </w:rPr>
              <w:t xml:space="preserve">the </w:t>
            </w:r>
            <w:r w:rsidR="00015A26" w:rsidRPr="00576065">
              <w:rPr>
                <w:rFonts w:eastAsia="Calibri" w:cs="Arial"/>
              </w:rPr>
              <w:t>Department</w:t>
            </w:r>
            <w:r w:rsidR="00015A26">
              <w:rPr>
                <w:rFonts w:eastAsia="Calibri" w:cs="Arial"/>
              </w:rPr>
              <w:t>’s</w:t>
            </w:r>
            <w:r w:rsidRPr="00576065">
              <w:rPr>
                <w:rFonts w:cs="Arial"/>
              </w:rPr>
              <w:t xml:space="preserve"> governing Boards: </w:t>
            </w:r>
            <w:r w:rsidRPr="00576065">
              <w:rPr>
                <w:rFonts w:eastAsia="Calibri" w:cs="Arial"/>
              </w:rPr>
              <w:t xml:space="preserve"> </w:t>
            </w:r>
          </w:p>
          <w:p w14:paraId="33413CC3" w14:textId="77777777" w:rsidR="00576065" w:rsidRPr="00576065" w:rsidRDefault="00576065" w:rsidP="00576065">
            <w:pPr>
              <w:pStyle w:val="CcList"/>
              <w:ind w:left="0" w:firstLine="0"/>
              <w:jc w:val="left"/>
              <w:rPr>
                <w:rFonts w:eastAsia="Calibri" w:cs="Arial"/>
                <w:highlight w:val="yellow"/>
              </w:rPr>
            </w:pPr>
            <w:hyperlink r:id="rId10" w:history="1">
              <w:r w:rsidRPr="00576065">
                <w:rPr>
                  <w:rStyle w:val="Hyperlink"/>
                  <w:rFonts w:cs="Arial"/>
                </w:rPr>
                <w:t>https://etf.wi.gov/boards/joint/2019/06/20/item3b/direct</w:t>
              </w:r>
            </w:hyperlink>
          </w:p>
        </w:tc>
      </w:tr>
      <w:tr w:rsidR="00576065" w:rsidRPr="00576065" w14:paraId="06B5346D" w14:textId="77777777" w:rsidTr="007A7F10">
        <w:tc>
          <w:tcPr>
            <w:tcW w:w="540" w:type="dxa"/>
            <w:shd w:val="clear" w:color="auto" w:fill="auto"/>
          </w:tcPr>
          <w:p w14:paraId="5FEDD56E"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12</w:t>
            </w:r>
          </w:p>
        </w:tc>
        <w:tc>
          <w:tcPr>
            <w:tcW w:w="1800" w:type="dxa"/>
            <w:shd w:val="clear" w:color="auto" w:fill="auto"/>
          </w:tcPr>
          <w:p w14:paraId="4221C377" w14:textId="77777777" w:rsidR="00576065" w:rsidRPr="00576065" w:rsidRDefault="00576065" w:rsidP="00576065">
            <w:pPr>
              <w:rPr>
                <w:rFonts w:cs="Arial"/>
                <w:sz w:val="20"/>
              </w:rPr>
            </w:pPr>
            <w:r w:rsidRPr="00576065">
              <w:rPr>
                <w:rFonts w:cs="Arial"/>
                <w:sz w:val="20"/>
              </w:rPr>
              <w:t>RFP General</w:t>
            </w:r>
          </w:p>
        </w:tc>
        <w:tc>
          <w:tcPr>
            <w:tcW w:w="810" w:type="dxa"/>
            <w:shd w:val="clear" w:color="auto" w:fill="auto"/>
          </w:tcPr>
          <w:p w14:paraId="2454724A" w14:textId="77777777" w:rsidR="00576065" w:rsidRPr="00576065" w:rsidRDefault="00576065" w:rsidP="00576065">
            <w:pPr>
              <w:rPr>
                <w:rFonts w:cs="Arial"/>
                <w:sz w:val="20"/>
              </w:rPr>
            </w:pPr>
          </w:p>
        </w:tc>
        <w:tc>
          <w:tcPr>
            <w:tcW w:w="2340" w:type="dxa"/>
            <w:shd w:val="clear" w:color="auto" w:fill="auto"/>
          </w:tcPr>
          <w:p w14:paraId="56B1545A" w14:textId="77777777" w:rsidR="00576065" w:rsidRPr="00576065" w:rsidRDefault="00576065" w:rsidP="00576065">
            <w:pPr>
              <w:rPr>
                <w:rFonts w:cs="Arial"/>
                <w:sz w:val="20"/>
              </w:rPr>
            </w:pPr>
            <w:r w:rsidRPr="00576065">
              <w:rPr>
                <w:rFonts w:cs="Arial"/>
                <w:sz w:val="20"/>
              </w:rPr>
              <w:t xml:space="preserve">Has this effort been </w:t>
            </w:r>
            <w:proofErr w:type="spellStart"/>
            <w:r w:rsidRPr="00576065">
              <w:rPr>
                <w:rFonts w:cs="Arial"/>
                <w:sz w:val="20"/>
              </w:rPr>
              <w:t>ID’d</w:t>
            </w:r>
            <w:proofErr w:type="spellEnd"/>
            <w:r w:rsidRPr="00576065">
              <w:rPr>
                <w:rFonts w:cs="Arial"/>
                <w:sz w:val="20"/>
              </w:rPr>
              <w:t xml:space="preserve"> within the current ETF Biennium Budget? What is the expected budget amount for this project?</w:t>
            </w:r>
          </w:p>
        </w:tc>
        <w:tc>
          <w:tcPr>
            <w:tcW w:w="4410" w:type="dxa"/>
            <w:shd w:val="clear" w:color="auto" w:fill="auto"/>
          </w:tcPr>
          <w:p w14:paraId="6BFDE7DF" w14:textId="77777777" w:rsidR="00576065" w:rsidRPr="00576065" w:rsidRDefault="00576065" w:rsidP="00576065">
            <w:pPr>
              <w:pStyle w:val="CcList"/>
              <w:ind w:left="0" w:firstLine="0"/>
              <w:jc w:val="left"/>
              <w:rPr>
                <w:rFonts w:eastAsia="Calibri" w:cs="Arial"/>
              </w:rPr>
            </w:pPr>
            <w:r w:rsidRPr="00576065">
              <w:rPr>
                <w:rFonts w:eastAsia="Calibri" w:cs="Arial"/>
              </w:rPr>
              <w:t>There is funding for this work within the current budget that runs through June 30, 2020. It is expected that additional funding will be allocated for subsequent fiscal years. Specifics of that budget will be discussed with the vendor once the contract is executed.</w:t>
            </w:r>
          </w:p>
        </w:tc>
      </w:tr>
      <w:tr w:rsidR="00576065" w:rsidRPr="00576065" w14:paraId="7937FE2D" w14:textId="77777777" w:rsidTr="007A7F10">
        <w:tc>
          <w:tcPr>
            <w:tcW w:w="540" w:type="dxa"/>
            <w:shd w:val="clear" w:color="auto" w:fill="D9E2F3"/>
          </w:tcPr>
          <w:p w14:paraId="70A8E7FA" w14:textId="77777777" w:rsidR="00576065" w:rsidRPr="00576065" w:rsidRDefault="00576065" w:rsidP="00576065">
            <w:pPr>
              <w:pStyle w:val="CcList"/>
              <w:ind w:left="0" w:firstLine="0"/>
              <w:jc w:val="left"/>
              <w:rPr>
                <w:rFonts w:eastAsia="Calibri" w:cs="Arial"/>
                <w:b/>
                <w:bCs/>
              </w:rPr>
            </w:pPr>
            <w:r w:rsidRPr="00576065">
              <w:rPr>
                <w:rFonts w:eastAsia="Calibri" w:cs="Arial"/>
                <w:b/>
                <w:bCs/>
              </w:rPr>
              <w:t>13</w:t>
            </w:r>
          </w:p>
        </w:tc>
        <w:tc>
          <w:tcPr>
            <w:tcW w:w="1800" w:type="dxa"/>
            <w:shd w:val="clear" w:color="auto" w:fill="D9E2F3"/>
          </w:tcPr>
          <w:p w14:paraId="1AD84C5F" w14:textId="77777777" w:rsidR="00576065" w:rsidRPr="00576065" w:rsidRDefault="00576065" w:rsidP="00576065">
            <w:pPr>
              <w:rPr>
                <w:rFonts w:cs="Arial"/>
                <w:sz w:val="20"/>
              </w:rPr>
            </w:pPr>
            <w:r w:rsidRPr="00576065">
              <w:rPr>
                <w:rFonts w:cs="Arial"/>
                <w:sz w:val="20"/>
              </w:rPr>
              <w:t>Appendix 3, General</w:t>
            </w:r>
          </w:p>
        </w:tc>
        <w:tc>
          <w:tcPr>
            <w:tcW w:w="810" w:type="dxa"/>
            <w:shd w:val="clear" w:color="auto" w:fill="D9E2F3"/>
          </w:tcPr>
          <w:p w14:paraId="76F69760" w14:textId="77777777" w:rsidR="00576065" w:rsidRPr="00576065" w:rsidRDefault="00576065" w:rsidP="00576065">
            <w:pPr>
              <w:rPr>
                <w:rFonts w:cs="Arial"/>
                <w:sz w:val="20"/>
              </w:rPr>
            </w:pPr>
          </w:p>
        </w:tc>
        <w:tc>
          <w:tcPr>
            <w:tcW w:w="2340" w:type="dxa"/>
            <w:shd w:val="clear" w:color="auto" w:fill="D9E2F3"/>
          </w:tcPr>
          <w:p w14:paraId="6D1A26EC" w14:textId="77777777" w:rsidR="00576065" w:rsidRPr="00576065" w:rsidRDefault="00576065" w:rsidP="00576065">
            <w:pPr>
              <w:rPr>
                <w:rFonts w:cs="Arial"/>
                <w:i/>
                <w:sz w:val="20"/>
              </w:rPr>
            </w:pPr>
            <w:r w:rsidRPr="00576065">
              <w:rPr>
                <w:rFonts w:cs="Arial"/>
                <w:sz w:val="20"/>
              </w:rPr>
              <w:t xml:space="preserve">Would ETF consider adding the following provision to any resultant contract: </w:t>
            </w:r>
            <w:r w:rsidRPr="007A7F10">
              <w:rPr>
                <w:rFonts w:cs="Arial"/>
                <w:i/>
                <w:sz w:val="18"/>
                <w:szCs w:val="18"/>
              </w:rPr>
              <w:t>Except to the extent finally determined to be prohibited by law, Contractor’s aggregate liability for all claims, losses, liabilities, or damages in connection with this agreement or its subject matter, whether as a result of breach of contract, tort (including negligence), or otherwise, regardless of the theory of liability asserted, is limited to no more than the total amount of fees paid to Contractor for the particular Service giving rise to the liability under this agreement. In addition, Contractor will not be liable for any lost profits, consequential, indirect, punitive, exemplary, or special damages. Also, Contractor shall have no liability arising from or relating to any third-party hardware, software, information, or materials selected or supplied by the Department.</w:t>
            </w:r>
          </w:p>
        </w:tc>
        <w:tc>
          <w:tcPr>
            <w:tcW w:w="4410" w:type="dxa"/>
            <w:shd w:val="clear" w:color="auto" w:fill="D9E2F3"/>
          </w:tcPr>
          <w:p w14:paraId="1F541F0D" w14:textId="77777777" w:rsidR="00576065" w:rsidRPr="00576065" w:rsidRDefault="00576065" w:rsidP="00576065">
            <w:pPr>
              <w:pStyle w:val="CcList"/>
              <w:ind w:left="0" w:firstLine="0"/>
              <w:jc w:val="left"/>
              <w:rPr>
                <w:rFonts w:eastAsia="Calibri" w:cs="Arial"/>
              </w:rPr>
            </w:pPr>
            <w:r w:rsidRPr="00576065">
              <w:rPr>
                <w:rFonts w:eastAsia="Calibri" w:cs="Arial"/>
              </w:rPr>
              <w:t>No. The suggested provision equates to a change to Section 18.0, Remedies of the Department, and Section 23.0, Indemnification, of RFP Appendix 3, Department Terms and Conditions, which are</w:t>
            </w:r>
            <w:r w:rsidRPr="00576065">
              <w:rPr>
                <w:rFonts w:eastAsia="Calibri" w:cs="Arial"/>
              </w:rPr>
              <w:t xml:space="preserve"> </w:t>
            </w:r>
            <w:r w:rsidRPr="00576065">
              <w:rPr>
                <w:rFonts w:eastAsia="Calibri" w:cs="Arial"/>
              </w:rPr>
              <w:t xml:space="preserve">included in Table 4 of RFP Section 2.4.2. No assumptions or exceptions are allowed to the sections listed in Table 4.  </w:t>
            </w:r>
          </w:p>
        </w:tc>
      </w:tr>
    </w:tbl>
    <w:p w14:paraId="741EF6FC" w14:textId="77777777" w:rsidR="00576065" w:rsidRPr="00576065" w:rsidRDefault="00576065" w:rsidP="00576065">
      <w:pPr>
        <w:pStyle w:val="CcList"/>
        <w:ind w:left="0" w:firstLine="0"/>
        <w:rPr>
          <w:rFonts w:eastAsia="Calibri" w:cs="Arial"/>
          <w:b/>
          <w:bCs/>
        </w:rPr>
      </w:pPr>
    </w:p>
    <w:p w14:paraId="2C09AABD" w14:textId="77777777" w:rsidR="00C2669A" w:rsidRDefault="00C2669A" w:rsidP="00947C39">
      <w:pPr>
        <w:rPr>
          <w:rFonts w:cs="Arial"/>
          <w:szCs w:val="22"/>
        </w:rPr>
      </w:pPr>
    </w:p>
    <w:p w14:paraId="09E7CD89" w14:textId="77777777" w:rsidR="003532FD" w:rsidRDefault="003532FD" w:rsidP="00947C39">
      <w:pPr>
        <w:rPr>
          <w:rFonts w:cs="Arial"/>
          <w:szCs w:val="22"/>
        </w:rPr>
      </w:pPr>
      <w:r>
        <w:rPr>
          <w:rFonts w:cs="Arial"/>
          <w:szCs w:val="22"/>
        </w:rPr>
        <w:t>END</w:t>
      </w:r>
    </w:p>
    <w:p w14:paraId="1CC4AF14" w14:textId="77777777" w:rsidR="003532FD" w:rsidRDefault="003532FD" w:rsidP="00947C39">
      <w:pPr>
        <w:rPr>
          <w:rFonts w:cs="Arial"/>
          <w:szCs w:val="22"/>
        </w:rPr>
      </w:pPr>
    </w:p>
    <w:p w14:paraId="72170EC8" w14:textId="66C6322A" w:rsidR="00F357A5" w:rsidRDefault="003532FD" w:rsidP="00947C39">
      <w:pPr>
        <w:rPr>
          <w:rFonts w:cs="Arial"/>
          <w:szCs w:val="22"/>
        </w:rPr>
      </w:pPr>
      <w:r>
        <w:rPr>
          <w:rFonts w:cs="Arial"/>
          <w:szCs w:val="22"/>
        </w:rPr>
        <w:t xml:space="preserve">This Addendum </w:t>
      </w:r>
      <w:r w:rsidR="00F16209">
        <w:rPr>
          <w:rFonts w:cs="Arial"/>
          <w:szCs w:val="22"/>
        </w:rPr>
        <w:t>will be</w:t>
      </w:r>
      <w:r>
        <w:rPr>
          <w:rFonts w:cs="Arial"/>
          <w:szCs w:val="22"/>
        </w:rPr>
        <w:t xml:space="preserve"> available on ETF’s Extranet at </w:t>
      </w:r>
      <w:hyperlink r:id="rId11" w:history="1">
        <w:r w:rsidRPr="005E272D">
          <w:rPr>
            <w:rFonts w:cs="Arial"/>
            <w:color w:val="001894"/>
            <w:szCs w:val="22"/>
            <w:u w:val="single"/>
          </w:rPr>
          <w:t>http://etfextranet.it.state.wi.us/etf/internet/RFP/rfp.html</w:t>
        </w:r>
      </w:hyperlink>
      <w:r>
        <w:rPr>
          <w:rFonts w:cs="Arial"/>
          <w:szCs w:val="22"/>
        </w:rPr>
        <w:t>.</w:t>
      </w:r>
    </w:p>
    <w:sectPr w:rsidR="00F357A5" w:rsidSect="00BA5005">
      <w:footerReference w:type="default" r:id="rId12"/>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396C" w14:textId="77777777" w:rsidR="00F66EB5" w:rsidRDefault="00F66EB5" w:rsidP="00E172D8">
      <w:r>
        <w:separator/>
      </w:r>
    </w:p>
  </w:endnote>
  <w:endnote w:type="continuationSeparator" w:id="0">
    <w:p w14:paraId="4B2F3627" w14:textId="77777777" w:rsidR="00F66EB5" w:rsidRDefault="00F66EB5"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3CE2" w14:textId="4F55150E" w:rsidR="00F66EB5" w:rsidRDefault="00F66EB5">
    <w:pPr>
      <w:pStyle w:val="Footer"/>
      <w:pBdr>
        <w:top w:val="thinThickSmallGap" w:sz="24" w:space="1" w:color="622423" w:themeColor="accent2" w:themeShade="7F"/>
      </w:pBdr>
      <w:rPr>
        <w:rFonts w:asciiTheme="majorHAnsi" w:hAnsiTheme="majorHAnsi"/>
      </w:rPr>
    </w:pPr>
    <w:r>
      <w:rPr>
        <w:rFonts w:asciiTheme="majorHAnsi" w:hAnsiTheme="majorHAnsi"/>
      </w:rPr>
      <w:t>RFP ET</w:t>
    </w:r>
    <w:r w:rsidR="00576065">
      <w:rPr>
        <w:rFonts w:asciiTheme="majorHAnsi" w:hAnsiTheme="majorHAnsi"/>
      </w:rPr>
      <w:t>J0048</w:t>
    </w:r>
    <w:r>
      <w:rPr>
        <w:rFonts w:asciiTheme="majorHAnsi" w:hAnsiTheme="majorHAnsi"/>
      </w:rPr>
      <w:t xml:space="preserve"> Addendum No. 1 – 0</w:t>
    </w:r>
    <w:r w:rsidR="00576065">
      <w:rPr>
        <w:rFonts w:asciiTheme="majorHAnsi" w:hAnsiTheme="majorHAnsi"/>
      </w:rPr>
      <w:t>1</w:t>
    </w:r>
    <w:r>
      <w:rPr>
        <w:rFonts w:asciiTheme="majorHAnsi" w:hAnsiTheme="majorHAnsi"/>
      </w:rPr>
      <w:t>-</w:t>
    </w:r>
    <w:r w:rsidR="00576065">
      <w:rPr>
        <w:rFonts w:asciiTheme="majorHAnsi" w:hAnsiTheme="majorHAnsi"/>
      </w:rPr>
      <w:t>09</w:t>
    </w:r>
    <w:r>
      <w:rPr>
        <w:rFonts w:asciiTheme="majorHAnsi" w:hAnsiTheme="majorHAnsi"/>
      </w:rPr>
      <w:t>-</w:t>
    </w:r>
    <w:r w:rsidRPr="0022621F">
      <w:rPr>
        <w:rFonts w:asciiTheme="majorHAnsi" w:hAnsiTheme="majorHAnsi"/>
      </w:rPr>
      <w:t>20</w:t>
    </w:r>
    <w:r w:rsidR="00576065">
      <w:rPr>
        <w:rFonts w:asciiTheme="majorHAnsi" w:hAnsiTheme="majorHAnsi"/>
      </w:rPr>
      <w:t>20</w:t>
    </w:r>
    <w:r w:rsidRPr="0022621F">
      <w:rPr>
        <w:rFonts w:asciiTheme="majorHAnsi" w:hAnsiTheme="majorHAnsi"/>
      </w:rPr>
      <w:ptab w:relativeTo="margin" w:alignment="right" w:leader="none"/>
    </w:r>
    <w:r w:rsidRPr="0022621F">
      <w:rPr>
        <w:rFonts w:asciiTheme="majorHAnsi" w:hAnsiTheme="majorHAnsi"/>
      </w:rPr>
      <w:t>Page</w:t>
    </w:r>
    <w:r w:rsidRPr="00B93855">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rsidRPr="00DB3018">
      <w:rPr>
        <w:rFonts w:asciiTheme="majorHAnsi" w:hAnsiTheme="majorHAnsi"/>
        <w:noProof/>
      </w:rPr>
      <w:t>21</w:t>
    </w:r>
    <w:r>
      <w:rPr>
        <w:rFonts w:asciiTheme="majorHAnsi" w:hAnsiTheme="majorHAnsi"/>
        <w:noProof/>
      </w:rPr>
      <w:fldChar w:fldCharType="end"/>
    </w:r>
    <w:r w:rsidR="007A7F10">
      <w:rPr>
        <w:rFonts w:asciiTheme="majorHAnsi" w:hAnsiTheme="majorHAnsi"/>
        <w:noProof/>
      </w:rPr>
      <w:t xml:space="preserve"> of 3</w:t>
    </w:r>
  </w:p>
  <w:p w14:paraId="5BB984D7" w14:textId="77777777" w:rsidR="00F66EB5" w:rsidRDefault="00F6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1F77" w14:textId="77777777" w:rsidR="00F66EB5" w:rsidRDefault="00F66EB5" w:rsidP="00E172D8">
      <w:r>
        <w:separator/>
      </w:r>
    </w:p>
  </w:footnote>
  <w:footnote w:type="continuationSeparator" w:id="0">
    <w:p w14:paraId="1222FA48" w14:textId="77777777" w:rsidR="00F66EB5" w:rsidRDefault="00F66EB5" w:rsidP="00E1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1AC"/>
    <w:multiLevelType w:val="hybridMultilevel"/>
    <w:tmpl w:val="99446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53B9"/>
    <w:multiLevelType w:val="multilevel"/>
    <w:tmpl w:val="8FAA0CE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B4EA1"/>
    <w:multiLevelType w:val="hybridMultilevel"/>
    <w:tmpl w:val="07522FCA"/>
    <w:lvl w:ilvl="0" w:tplc="A02895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876FD"/>
    <w:multiLevelType w:val="hybridMultilevel"/>
    <w:tmpl w:val="3BD0F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613DEC"/>
    <w:multiLevelType w:val="hybridMultilevel"/>
    <w:tmpl w:val="6A82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1D17"/>
    <w:multiLevelType w:val="hybridMultilevel"/>
    <w:tmpl w:val="096E3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C7EFF"/>
    <w:multiLevelType w:val="hybridMultilevel"/>
    <w:tmpl w:val="ADD43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A707CD5"/>
    <w:multiLevelType w:val="hybridMultilevel"/>
    <w:tmpl w:val="C2D024F8"/>
    <w:lvl w:ilvl="0" w:tplc="F60E13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341338"/>
    <w:multiLevelType w:val="hybridMultilevel"/>
    <w:tmpl w:val="04080074"/>
    <w:lvl w:ilvl="0" w:tplc="3D9E558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971154"/>
    <w:multiLevelType w:val="hybridMultilevel"/>
    <w:tmpl w:val="DC0E95EC"/>
    <w:lvl w:ilvl="0" w:tplc="D938FBE4">
      <w:start w:val="7"/>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15:restartNumberingAfterBreak="0">
    <w:nsid w:val="27F35965"/>
    <w:multiLevelType w:val="hybridMultilevel"/>
    <w:tmpl w:val="B2166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A77B1"/>
    <w:multiLevelType w:val="hybridMultilevel"/>
    <w:tmpl w:val="52AAC3F6"/>
    <w:lvl w:ilvl="0" w:tplc="09C2B4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322E3"/>
    <w:multiLevelType w:val="hybridMultilevel"/>
    <w:tmpl w:val="14880B1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720375"/>
    <w:multiLevelType w:val="hybridMultilevel"/>
    <w:tmpl w:val="A09ACE24"/>
    <w:lvl w:ilvl="0" w:tplc="04090005">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7F6DFE"/>
    <w:multiLevelType w:val="hybridMultilevel"/>
    <w:tmpl w:val="7BF4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237B43"/>
    <w:multiLevelType w:val="multilevel"/>
    <w:tmpl w:val="07DCFC4E"/>
    <w:lvl w:ilvl="0">
      <w:start w:val="1"/>
      <w:numFmt w:val="decimal"/>
      <w:lvlText w:val="%1"/>
      <w:lvlJc w:val="left"/>
      <w:pPr>
        <w:ind w:left="1076" w:hanging="576"/>
      </w:pPr>
      <w:rPr>
        <w:rFonts w:hint="default"/>
      </w:rPr>
    </w:lvl>
    <w:lvl w:ilvl="1">
      <w:start w:val="7"/>
      <w:numFmt w:val="decimal"/>
      <w:lvlText w:val="%1.%2"/>
      <w:lvlJc w:val="left"/>
      <w:pPr>
        <w:ind w:left="1076" w:hanging="576"/>
      </w:pPr>
      <w:rPr>
        <w:rFonts w:ascii="Arial" w:eastAsia="Arial" w:hAnsi="Arial" w:hint="default"/>
        <w:b/>
        <w:bCs/>
        <w:color w:val="1F487C"/>
        <w:spacing w:val="-1"/>
        <w:w w:val="100"/>
        <w:sz w:val="28"/>
        <w:szCs w:val="28"/>
      </w:rPr>
    </w:lvl>
    <w:lvl w:ilvl="2">
      <w:start w:val="1"/>
      <w:numFmt w:val="bullet"/>
      <w:lvlText w:val="•"/>
      <w:lvlJc w:val="left"/>
      <w:pPr>
        <w:ind w:left="2936" w:hanging="576"/>
      </w:pPr>
      <w:rPr>
        <w:rFonts w:hint="default"/>
      </w:rPr>
    </w:lvl>
    <w:lvl w:ilvl="3">
      <w:start w:val="1"/>
      <w:numFmt w:val="bullet"/>
      <w:lvlText w:val="•"/>
      <w:lvlJc w:val="left"/>
      <w:pPr>
        <w:ind w:left="3864" w:hanging="576"/>
      </w:pPr>
      <w:rPr>
        <w:rFonts w:hint="default"/>
      </w:rPr>
    </w:lvl>
    <w:lvl w:ilvl="4">
      <w:start w:val="1"/>
      <w:numFmt w:val="bullet"/>
      <w:lvlText w:val="•"/>
      <w:lvlJc w:val="left"/>
      <w:pPr>
        <w:ind w:left="4792" w:hanging="576"/>
      </w:pPr>
      <w:rPr>
        <w:rFonts w:hint="default"/>
      </w:rPr>
    </w:lvl>
    <w:lvl w:ilvl="5">
      <w:start w:val="1"/>
      <w:numFmt w:val="bullet"/>
      <w:lvlText w:val="•"/>
      <w:lvlJc w:val="left"/>
      <w:pPr>
        <w:ind w:left="5720" w:hanging="576"/>
      </w:pPr>
      <w:rPr>
        <w:rFonts w:hint="default"/>
      </w:rPr>
    </w:lvl>
    <w:lvl w:ilvl="6">
      <w:start w:val="1"/>
      <w:numFmt w:val="bullet"/>
      <w:lvlText w:val="•"/>
      <w:lvlJc w:val="left"/>
      <w:pPr>
        <w:ind w:left="6648" w:hanging="576"/>
      </w:pPr>
      <w:rPr>
        <w:rFonts w:hint="default"/>
      </w:rPr>
    </w:lvl>
    <w:lvl w:ilvl="7">
      <w:start w:val="1"/>
      <w:numFmt w:val="bullet"/>
      <w:lvlText w:val="•"/>
      <w:lvlJc w:val="left"/>
      <w:pPr>
        <w:ind w:left="7576" w:hanging="576"/>
      </w:pPr>
      <w:rPr>
        <w:rFonts w:hint="default"/>
      </w:rPr>
    </w:lvl>
    <w:lvl w:ilvl="8">
      <w:start w:val="1"/>
      <w:numFmt w:val="bullet"/>
      <w:lvlText w:val="•"/>
      <w:lvlJc w:val="left"/>
      <w:pPr>
        <w:ind w:left="8504" w:hanging="576"/>
      </w:pPr>
      <w:rPr>
        <w:rFonts w:hint="default"/>
      </w:rPr>
    </w:lvl>
  </w:abstractNum>
  <w:abstractNum w:abstractNumId="18" w15:restartNumberingAfterBreak="0">
    <w:nsid w:val="40CA3EB0"/>
    <w:multiLevelType w:val="hybridMultilevel"/>
    <w:tmpl w:val="73FE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E526FD"/>
    <w:multiLevelType w:val="hybridMultilevel"/>
    <w:tmpl w:val="063C9AD0"/>
    <w:lvl w:ilvl="0" w:tplc="3D9E5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FCB6949"/>
    <w:multiLevelType w:val="multilevel"/>
    <w:tmpl w:val="C1463BF2"/>
    <w:lvl w:ilvl="0">
      <w:start w:val="1"/>
      <w:numFmt w:val="decimal"/>
      <w:lvlText w:val="%1"/>
      <w:lvlJc w:val="left"/>
      <w:pPr>
        <w:ind w:left="570" w:hanging="57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159784B"/>
    <w:multiLevelType w:val="hybridMultilevel"/>
    <w:tmpl w:val="52306D6A"/>
    <w:lvl w:ilvl="0" w:tplc="76F862EA">
      <w:start w:val="1"/>
      <w:numFmt w:val="bullet"/>
      <w:lvlText w:val=""/>
      <w:lvlJc w:val="left"/>
      <w:pPr>
        <w:ind w:left="1080" w:hanging="360"/>
      </w:pPr>
      <w:rPr>
        <w:rFonts w:ascii="Wingdings" w:eastAsia="Wingdings" w:hAnsi="Wingdings" w:hint="default"/>
        <w:color w:val="1F487C"/>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E54B60"/>
    <w:multiLevelType w:val="multilevel"/>
    <w:tmpl w:val="E1FC2D6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1B78FA"/>
    <w:multiLevelType w:val="multilevel"/>
    <w:tmpl w:val="F57C4D6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8374D7"/>
    <w:multiLevelType w:val="hybridMultilevel"/>
    <w:tmpl w:val="03ECAFE2"/>
    <w:lvl w:ilvl="0" w:tplc="C4822782">
      <w:start w:val="7"/>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66D24"/>
    <w:multiLevelType w:val="hybridMultilevel"/>
    <w:tmpl w:val="D59E93DC"/>
    <w:lvl w:ilvl="0" w:tplc="FDAC39DC">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1545A"/>
    <w:multiLevelType w:val="hybridMultilevel"/>
    <w:tmpl w:val="33FCC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F2383"/>
    <w:multiLevelType w:val="hybridMultilevel"/>
    <w:tmpl w:val="02A83D10"/>
    <w:lvl w:ilvl="0" w:tplc="04090011">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453EB"/>
    <w:multiLevelType w:val="hybridMultilevel"/>
    <w:tmpl w:val="2D2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437A3"/>
    <w:multiLevelType w:val="hybridMultilevel"/>
    <w:tmpl w:val="2908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37F3B"/>
    <w:multiLevelType w:val="hybridMultilevel"/>
    <w:tmpl w:val="AD842DCC"/>
    <w:lvl w:ilvl="0" w:tplc="E3001CD6">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A2F4A"/>
    <w:multiLevelType w:val="hybridMultilevel"/>
    <w:tmpl w:val="096E3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C5C3E"/>
    <w:multiLevelType w:val="hybridMultilevel"/>
    <w:tmpl w:val="3C54AEF0"/>
    <w:lvl w:ilvl="0" w:tplc="C31EC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25A2D"/>
    <w:multiLevelType w:val="hybridMultilevel"/>
    <w:tmpl w:val="5032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056A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684152"/>
    <w:multiLevelType w:val="hybridMultilevel"/>
    <w:tmpl w:val="6C40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27"/>
  </w:num>
  <w:num w:numId="6">
    <w:abstractNumId w:val="14"/>
  </w:num>
  <w:num w:numId="7">
    <w:abstractNumId w:val="12"/>
  </w:num>
  <w:num w:numId="8">
    <w:abstractNumId w:val="15"/>
  </w:num>
  <w:num w:numId="9">
    <w:abstractNumId w:val="8"/>
  </w:num>
  <w:num w:numId="10">
    <w:abstractNumId w:val="8"/>
  </w:num>
  <w:num w:numId="11">
    <w:abstractNumId w:val="26"/>
  </w:num>
  <w:num w:numId="12">
    <w:abstractNumId w:val="22"/>
  </w:num>
  <w:num w:numId="13">
    <w:abstractNumId w:val="17"/>
  </w:num>
  <w:num w:numId="14">
    <w:abstractNumId w:val="21"/>
  </w:num>
  <w:num w:numId="15">
    <w:abstractNumId w:val="20"/>
  </w:num>
  <w:num w:numId="16">
    <w:abstractNumId w:val="19"/>
  </w:num>
  <w:num w:numId="17">
    <w:abstractNumId w:val="10"/>
  </w:num>
  <w:num w:numId="18">
    <w:abstractNumId w:val="3"/>
  </w:num>
  <w:num w:numId="19">
    <w:abstractNumId w:val="11"/>
  </w:num>
  <w:num w:numId="20">
    <w:abstractNumId w:val="18"/>
  </w:num>
  <w:num w:numId="21">
    <w:abstractNumId w:val="28"/>
  </w:num>
  <w:num w:numId="22">
    <w:abstractNumId w:val="34"/>
  </w:num>
  <w:num w:numId="23">
    <w:abstractNumId w:val="13"/>
  </w:num>
  <w:num w:numId="24">
    <w:abstractNumId w:val="36"/>
  </w:num>
  <w:num w:numId="25">
    <w:abstractNumId w:val="16"/>
  </w:num>
  <w:num w:numId="26">
    <w:abstractNumId w:val="4"/>
  </w:num>
  <w:num w:numId="27">
    <w:abstractNumId w:val="23"/>
  </w:num>
  <w:num w:numId="28">
    <w:abstractNumId w:val="1"/>
  </w:num>
  <w:num w:numId="29">
    <w:abstractNumId w:val="25"/>
  </w:num>
  <w:num w:numId="30">
    <w:abstractNumId w:val="35"/>
  </w:num>
  <w:num w:numId="31">
    <w:abstractNumId w:val="24"/>
  </w:num>
  <w:num w:numId="32">
    <w:abstractNumId w:val="31"/>
  </w:num>
  <w:num w:numId="33">
    <w:abstractNumId w:val="7"/>
  </w:num>
  <w:num w:numId="34">
    <w:abstractNumId w:val="6"/>
  </w:num>
  <w:num w:numId="35">
    <w:abstractNumId w:val="33"/>
  </w:num>
  <w:num w:numId="36">
    <w:abstractNumId w:val="32"/>
  </w:num>
  <w:num w:numId="37">
    <w:abstractNumId w:val="29"/>
  </w:num>
  <w:num w:numId="38">
    <w:abstractNumId w:val="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7919"/>
    <w:rsid w:val="00011498"/>
    <w:rsid w:val="00013881"/>
    <w:rsid w:val="00014347"/>
    <w:rsid w:val="00015A26"/>
    <w:rsid w:val="000246A6"/>
    <w:rsid w:val="00026172"/>
    <w:rsid w:val="0002667E"/>
    <w:rsid w:val="00027AD8"/>
    <w:rsid w:val="000314B3"/>
    <w:rsid w:val="000438C2"/>
    <w:rsid w:val="000468EF"/>
    <w:rsid w:val="00061F64"/>
    <w:rsid w:val="00066FF6"/>
    <w:rsid w:val="00067585"/>
    <w:rsid w:val="00067E95"/>
    <w:rsid w:val="0007696F"/>
    <w:rsid w:val="00092021"/>
    <w:rsid w:val="000932D3"/>
    <w:rsid w:val="000B71C1"/>
    <w:rsid w:val="000C3C22"/>
    <w:rsid w:val="000D0202"/>
    <w:rsid w:val="000D3C65"/>
    <w:rsid w:val="000D4BE5"/>
    <w:rsid w:val="000E00FF"/>
    <w:rsid w:val="000E1569"/>
    <w:rsid w:val="001076EE"/>
    <w:rsid w:val="00110C7A"/>
    <w:rsid w:val="001140C4"/>
    <w:rsid w:val="00115870"/>
    <w:rsid w:val="001159CF"/>
    <w:rsid w:val="001204BC"/>
    <w:rsid w:val="00122A26"/>
    <w:rsid w:val="001251F5"/>
    <w:rsid w:val="00140D7D"/>
    <w:rsid w:val="00151592"/>
    <w:rsid w:val="0015587D"/>
    <w:rsid w:val="00161363"/>
    <w:rsid w:val="00174B16"/>
    <w:rsid w:val="0018231A"/>
    <w:rsid w:val="00192962"/>
    <w:rsid w:val="00193911"/>
    <w:rsid w:val="001A0EAF"/>
    <w:rsid w:val="001A28E3"/>
    <w:rsid w:val="001B1227"/>
    <w:rsid w:val="001B4C1D"/>
    <w:rsid w:val="001B736E"/>
    <w:rsid w:val="001B7F9F"/>
    <w:rsid w:val="001C15A5"/>
    <w:rsid w:val="001C1C9E"/>
    <w:rsid w:val="001C1D15"/>
    <w:rsid w:val="001C6D72"/>
    <w:rsid w:val="001D724C"/>
    <w:rsid w:val="001E4B35"/>
    <w:rsid w:val="00201430"/>
    <w:rsid w:val="00203F31"/>
    <w:rsid w:val="00203FBC"/>
    <w:rsid w:val="0020636C"/>
    <w:rsid w:val="002114EA"/>
    <w:rsid w:val="00213143"/>
    <w:rsid w:val="0021346C"/>
    <w:rsid w:val="002134A7"/>
    <w:rsid w:val="002172F4"/>
    <w:rsid w:val="00217491"/>
    <w:rsid w:val="0022621F"/>
    <w:rsid w:val="0024037B"/>
    <w:rsid w:val="00253063"/>
    <w:rsid w:val="00261A7C"/>
    <w:rsid w:val="002623E0"/>
    <w:rsid w:val="002966BE"/>
    <w:rsid w:val="002978C6"/>
    <w:rsid w:val="002A2117"/>
    <w:rsid w:val="002A2D44"/>
    <w:rsid w:val="002B08A9"/>
    <w:rsid w:val="002C07ED"/>
    <w:rsid w:val="002C362D"/>
    <w:rsid w:val="002C7ACB"/>
    <w:rsid w:val="002D1578"/>
    <w:rsid w:val="002D194D"/>
    <w:rsid w:val="002D4E52"/>
    <w:rsid w:val="002D7950"/>
    <w:rsid w:val="002F69C9"/>
    <w:rsid w:val="003073AD"/>
    <w:rsid w:val="0031161D"/>
    <w:rsid w:val="003158F2"/>
    <w:rsid w:val="00330635"/>
    <w:rsid w:val="00333471"/>
    <w:rsid w:val="00342CF2"/>
    <w:rsid w:val="00343526"/>
    <w:rsid w:val="003532FD"/>
    <w:rsid w:val="00361EF6"/>
    <w:rsid w:val="003715F0"/>
    <w:rsid w:val="003811C8"/>
    <w:rsid w:val="0038398C"/>
    <w:rsid w:val="00397CF9"/>
    <w:rsid w:val="003A2367"/>
    <w:rsid w:val="003A6AD0"/>
    <w:rsid w:val="003C3819"/>
    <w:rsid w:val="003D08BE"/>
    <w:rsid w:val="003D3ED8"/>
    <w:rsid w:val="003E3CB6"/>
    <w:rsid w:val="00401AE7"/>
    <w:rsid w:val="00413158"/>
    <w:rsid w:val="004150B3"/>
    <w:rsid w:val="00421006"/>
    <w:rsid w:val="004216C6"/>
    <w:rsid w:val="0042623F"/>
    <w:rsid w:val="00430C40"/>
    <w:rsid w:val="004376AC"/>
    <w:rsid w:val="00444D0E"/>
    <w:rsid w:val="0045672D"/>
    <w:rsid w:val="00465ADD"/>
    <w:rsid w:val="00472919"/>
    <w:rsid w:val="00475F9B"/>
    <w:rsid w:val="004822B5"/>
    <w:rsid w:val="00492B67"/>
    <w:rsid w:val="00493441"/>
    <w:rsid w:val="00494109"/>
    <w:rsid w:val="00494D9D"/>
    <w:rsid w:val="004A16A5"/>
    <w:rsid w:val="004A6526"/>
    <w:rsid w:val="004A7A4A"/>
    <w:rsid w:val="004C664D"/>
    <w:rsid w:val="004D2CFC"/>
    <w:rsid w:val="004E5623"/>
    <w:rsid w:val="004E767E"/>
    <w:rsid w:val="004F5E6F"/>
    <w:rsid w:val="005012E4"/>
    <w:rsid w:val="005023A8"/>
    <w:rsid w:val="00505780"/>
    <w:rsid w:val="00507141"/>
    <w:rsid w:val="005130AD"/>
    <w:rsid w:val="00513106"/>
    <w:rsid w:val="00515A67"/>
    <w:rsid w:val="005233D8"/>
    <w:rsid w:val="00530D6D"/>
    <w:rsid w:val="005370FC"/>
    <w:rsid w:val="0054693E"/>
    <w:rsid w:val="00555248"/>
    <w:rsid w:val="005577B3"/>
    <w:rsid w:val="00564BE8"/>
    <w:rsid w:val="00570320"/>
    <w:rsid w:val="005729E3"/>
    <w:rsid w:val="0057487C"/>
    <w:rsid w:val="00576065"/>
    <w:rsid w:val="00585677"/>
    <w:rsid w:val="005866F2"/>
    <w:rsid w:val="005B35A8"/>
    <w:rsid w:val="005D4AF4"/>
    <w:rsid w:val="005E272D"/>
    <w:rsid w:val="005E4423"/>
    <w:rsid w:val="005E7844"/>
    <w:rsid w:val="005F6C2F"/>
    <w:rsid w:val="00600222"/>
    <w:rsid w:val="00627B87"/>
    <w:rsid w:val="0063482F"/>
    <w:rsid w:val="00634F26"/>
    <w:rsid w:val="00636024"/>
    <w:rsid w:val="006370F7"/>
    <w:rsid w:val="00642F15"/>
    <w:rsid w:val="00644C37"/>
    <w:rsid w:val="006630BC"/>
    <w:rsid w:val="00664341"/>
    <w:rsid w:val="00664B45"/>
    <w:rsid w:val="00665DE6"/>
    <w:rsid w:val="006715D9"/>
    <w:rsid w:val="0067664C"/>
    <w:rsid w:val="00691E69"/>
    <w:rsid w:val="006A4054"/>
    <w:rsid w:val="006B179A"/>
    <w:rsid w:val="006C4CEF"/>
    <w:rsid w:val="006D09FE"/>
    <w:rsid w:val="006E0184"/>
    <w:rsid w:val="007016C4"/>
    <w:rsid w:val="007019CA"/>
    <w:rsid w:val="007026A6"/>
    <w:rsid w:val="007033A0"/>
    <w:rsid w:val="007103BD"/>
    <w:rsid w:val="00713898"/>
    <w:rsid w:val="007340EC"/>
    <w:rsid w:val="00755418"/>
    <w:rsid w:val="00755D1B"/>
    <w:rsid w:val="00764203"/>
    <w:rsid w:val="007759EB"/>
    <w:rsid w:val="007863A7"/>
    <w:rsid w:val="0079243F"/>
    <w:rsid w:val="007936E7"/>
    <w:rsid w:val="00796764"/>
    <w:rsid w:val="007A5908"/>
    <w:rsid w:val="007A7F10"/>
    <w:rsid w:val="007C3AC8"/>
    <w:rsid w:val="007D25CA"/>
    <w:rsid w:val="007D439B"/>
    <w:rsid w:val="007D46F9"/>
    <w:rsid w:val="007E317E"/>
    <w:rsid w:val="007E3853"/>
    <w:rsid w:val="007E5951"/>
    <w:rsid w:val="007F1B24"/>
    <w:rsid w:val="00800485"/>
    <w:rsid w:val="0081224E"/>
    <w:rsid w:val="00814C13"/>
    <w:rsid w:val="008162E0"/>
    <w:rsid w:val="00817708"/>
    <w:rsid w:val="00821FDA"/>
    <w:rsid w:val="00827E80"/>
    <w:rsid w:val="00831BC2"/>
    <w:rsid w:val="00832464"/>
    <w:rsid w:val="00837497"/>
    <w:rsid w:val="00842D08"/>
    <w:rsid w:val="00843AA3"/>
    <w:rsid w:val="00851579"/>
    <w:rsid w:val="008656D8"/>
    <w:rsid w:val="00880C8F"/>
    <w:rsid w:val="008955FB"/>
    <w:rsid w:val="00896A01"/>
    <w:rsid w:val="008970C6"/>
    <w:rsid w:val="008A034B"/>
    <w:rsid w:val="008A4BF2"/>
    <w:rsid w:val="008B13C1"/>
    <w:rsid w:val="008D1EA3"/>
    <w:rsid w:val="008D7215"/>
    <w:rsid w:val="008E12EA"/>
    <w:rsid w:val="008F7455"/>
    <w:rsid w:val="008F7ACA"/>
    <w:rsid w:val="00904A18"/>
    <w:rsid w:val="00904FB9"/>
    <w:rsid w:val="00910007"/>
    <w:rsid w:val="009163EA"/>
    <w:rsid w:val="009168FB"/>
    <w:rsid w:val="00924AA7"/>
    <w:rsid w:val="00924C26"/>
    <w:rsid w:val="00925626"/>
    <w:rsid w:val="00931F80"/>
    <w:rsid w:val="00947331"/>
    <w:rsid w:val="00947661"/>
    <w:rsid w:val="00947C39"/>
    <w:rsid w:val="009506C5"/>
    <w:rsid w:val="00950984"/>
    <w:rsid w:val="009606F0"/>
    <w:rsid w:val="00966683"/>
    <w:rsid w:val="0096756A"/>
    <w:rsid w:val="00972B15"/>
    <w:rsid w:val="009750FE"/>
    <w:rsid w:val="00976BE0"/>
    <w:rsid w:val="00976F0F"/>
    <w:rsid w:val="0098773D"/>
    <w:rsid w:val="009A1C48"/>
    <w:rsid w:val="009B2823"/>
    <w:rsid w:val="009B2A0D"/>
    <w:rsid w:val="009C4EF5"/>
    <w:rsid w:val="009C61FC"/>
    <w:rsid w:val="009D5A10"/>
    <w:rsid w:val="009D79F4"/>
    <w:rsid w:val="009E0661"/>
    <w:rsid w:val="009F2C39"/>
    <w:rsid w:val="009F530B"/>
    <w:rsid w:val="00A0517B"/>
    <w:rsid w:val="00A0531A"/>
    <w:rsid w:val="00A1383C"/>
    <w:rsid w:val="00A21621"/>
    <w:rsid w:val="00A23565"/>
    <w:rsid w:val="00A360BD"/>
    <w:rsid w:val="00A51A07"/>
    <w:rsid w:val="00A52B10"/>
    <w:rsid w:val="00A72EC2"/>
    <w:rsid w:val="00A73765"/>
    <w:rsid w:val="00A76D26"/>
    <w:rsid w:val="00A82179"/>
    <w:rsid w:val="00A93D29"/>
    <w:rsid w:val="00A93FF7"/>
    <w:rsid w:val="00AA35BF"/>
    <w:rsid w:val="00AB1BE2"/>
    <w:rsid w:val="00AC247C"/>
    <w:rsid w:val="00AD3260"/>
    <w:rsid w:val="00B06F3F"/>
    <w:rsid w:val="00B1179C"/>
    <w:rsid w:val="00B23E31"/>
    <w:rsid w:val="00B26A0E"/>
    <w:rsid w:val="00B37E44"/>
    <w:rsid w:val="00B52C27"/>
    <w:rsid w:val="00B52F64"/>
    <w:rsid w:val="00B565AA"/>
    <w:rsid w:val="00B6390B"/>
    <w:rsid w:val="00B751CD"/>
    <w:rsid w:val="00B85B4F"/>
    <w:rsid w:val="00B9347F"/>
    <w:rsid w:val="00B93855"/>
    <w:rsid w:val="00BA277D"/>
    <w:rsid w:val="00BA39E6"/>
    <w:rsid w:val="00BA5005"/>
    <w:rsid w:val="00BA7BC1"/>
    <w:rsid w:val="00BB37A5"/>
    <w:rsid w:val="00BB3BA6"/>
    <w:rsid w:val="00BC3479"/>
    <w:rsid w:val="00BD089C"/>
    <w:rsid w:val="00BE2882"/>
    <w:rsid w:val="00BF1046"/>
    <w:rsid w:val="00BF1EE9"/>
    <w:rsid w:val="00BF6799"/>
    <w:rsid w:val="00C078BD"/>
    <w:rsid w:val="00C17AB8"/>
    <w:rsid w:val="00C2669A"/>
    <w:rsid w:val="00C33F04"/>
    <w:rsid w:val="00C37F5D"/>
    <w:rsid w:val="00C4045D"/>
    <w:rsid w:val="00C505C3"/>
    <w:rsid w:val="00C51DFC"/>
    <w:rsid w:val="00C65A79"/>
    <w:rsid w:val="00C805CD"/>
    <w:rsid w:val="00C95020"/>
    <w:rsid w:val="00C96FBA"/>
    <w:rsid w:val="00CA5AD1"/>
    <w:rsid w:val="00CB2061"/>
    <w:rsid w:val="00CB4CE4"/>
    <w:rsid w:val="00CC1625"/>
    <w:rsid w:val="00CC43AB"/>
    <w:rsid w:val="00CE2BA6"/>
    <w:rsid w:val="00CF6ACC"/>
    <w:rsid w:val="00D2087F"/>
    <w:rsid w:val="00D3210A"/>
    <w:rsid w:val="00D35741"/>
    <w:rsid w:val="00D3595A"/>
    <w:rsid w:val="00D4248A"/>
    <w:rsid w:val="00D47C45"/>
    <w:rsid w:val="00D554C9"/>
    <w:rsid w:val="00D57E3B"/>
    <w:rsid w:val="00D61AF3"/>
    <w:rsid w:val="00D62C6D"/>
    <w:rsid w:val="00D67105"/>
    <w:rsid w:val="00D7295C"/>
    <w:rsid w:val="00D7354A"/>
    <w:rsid w:val="00D826F1"/>
    <w:rsid w:val="00D91FA5"/>
    <w:rsid w:val="00D920CA"/>
    <w:rsid w:val="00D943A8"/>
    <w:rsid w:val="00DA39D9"/>
    <w:rsid w:val="00DA7155"/>
    <w:rsid w:val="00DB3018"/>
    <w:rsid w:val="00DB47AC"/>
    <w:rsid w:val="00DB7D87"/>
    <w:rsid w:val="00DC2C5A"/>
    <w:rsid w:val="00DC424B"/>
    <w:rsid w:val="00DC433E"/>
    <w:rsid w:val="00DC458C"/>
    <w:rsid w:val="00DD3A5D"/>
    <w:rsid w:val="00DE2238"/>
    <w:rsid w:val="00DF2C1B"/>
    <w:rsid w:val="00DF2E5B"/>
    <w:rsid w:val="00E00F75"/>
    <w:rsid w:val="00E172D8"/>
    <w:rsid w:val="00E229A1"/>
    <w:rsid w:val="00E31254"/>
    <w:rsid w:val="00E5041F"/>
    <w:rsid w:val="00E549CB"/>
    <w:rsid w:val="00E61B9D"/>
    <w:rsid w:val="00E86E16"/>
    <w:rsid w:val="00E876BB"/>
    <w:rsid w:val="00E91297"/>
    <w:rsid w:val="00E933B1"/>
    <w:rsid w:val="00E956B8"/>
    <w:rsid w:val="00EA1F89"/>
    <w:rsid w:val="00EA5508"/>
    <w:rsid w:val="00EA65A6"/>
    <w:rsid w:val="00ED40B8"/>
    <w:rsid w:val="00EF0F15"/>
    <w:rsid w:val="00EF2A38"/>
    <w:rsid w:val="00EF5514"/>
    <w:rsid w:val="00F02439"/>
    <w:rsid w:val="00F1569F"/>
    <w:rsid w:val="00F15778"/>
    <w:rsid w:val="00F16209"/>
    <w:rsid w:val="00F2197B"/>
    <w:rsid w:val="00F239E4"/>
    <w:rsid w:val="00F2525D"/>
    <w:rsid w:val="00F30155"/>
    <w:rsid w:val="00F357A5"/>
    <w:rsid w:val="00F41C3B"/>
    <w:rsid w:val="00F53FA8"/>
    <w:rsid w:val="00F66EB5"/>
    <w:rsid w:val="00F7028A"/>
    <w:rsid w:val="00F71EAD"/>
    <w:rsid w:val="00F81AD9"/>
    <w:rsid w:val="00F834D6"/>
    <w:rsid w:val="00F856B5"/>
    <w:rsid w:val="00F86DDE"/>
    <w:rsid w:val="00F94854"/>
    <w:rsid w:val="00FA2070"/>
    <w:rsid w:val="00FB3644"/>
    <w:rsid w:val="00FC55AE"/>
    <w:rsid w:val="00FD03D6"/>
    <w:rsid w:val="00FD07D2"/>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3"/>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iPriority w:val="99"/>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3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15"/>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paragraph" w:customStyle="1" w:styleId="CcList">
    <w:name w:val="Cc List"/>
    <w:basedOn w:val="Normal"/>
    <w:rsid w:val="00576065"/>
    <w:pPr>
      <w:keepLines/>
      <w:spacing w:line="220" w:lineRule="atLeast"/>
      <w:ind w:left="360" w:hanging="360"/>
      <w:jc w:val="both"/>
    </w:pPr>
    <w:rPr>
      <w:spacing w:val="-5"/>
      <w:sz w:val="20"/>
    </w:rPr>
  </w:style>
  <w:style w:type="paragraph" w:customStyle="1" w:styleId="SignatureCompany">
    <w:name w:val="Signature Company"/>
    <w:basedOn w:val="Signature"/>
    <w:next w:val="Normal"/>
    <w:rsid w:val="00576065"/>
    <w:pPr>
      <w:keepNext/>
      <w:spacing w:line="220" w:lineRule="atLeast"/>
      <w:ind w:left="0"/>
    </w:pPr>
    <w:rPr>
      <w:spacing w:val="-5"/>
      <w:sz w:val="20"/>
    </w:rPr>
  </w:style>
  <w:style w:type="paragraph" w:styleId="Signature">
    <w:name w:val="Signature"/>
    <w:basedOn w:val="Normal"/>
    <w:link w:val="SignatureChar"/>
    <w:uiPriority w:val="99"/>
    <w:semiHidden/>
    <w:unhideWhenUsed/>
    <w:rsid w:val="00576065"/>
    <w:pPr>
      <w:ind w:left="4320"/>
    </w:pPr>
  </w:style>
  <w:style w:type="character" w:customStyle="1" w:styleId="SignatureChar">
    <w:name w:val="Signature Char"/>
    <w:basedOn w:val="DefaultParagraphFont"/>
    <w:link w:val="Signature"/>
    <w:uiPriority w:val="99"/>
    <w:semiHidden/>
    <w:rsid w:val="0057606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f.wi.gov/about-etf/government-relations/action-ite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fextranet.it.state.wi.us/etf/internet/RFP/rfp.html" TargetMode="External"/><Relationship Id="rId5" Type="http://schemas.openxmlformats.org/officeDocument/2006/relationships/footnotes" Target="footnotes.xml"/><Relationship Id="rId10" Type="http://schemas.openxmlformats.org/officeDocument/2006/relationships/hyperlink" Target="https://etf.wi.gov/boards/joint/2019/06/20/item3b/direct" TargetMode="External"/><Relationship Id="rId4" Type="http://schemas.openxmlformats.org/officeDocument/2006/relationships/webSettings" Target="webSettings.xml"/><Relationship Id="rId9" Type="http://schemas.openxmlformats.org/officeDocument/2006/relationships/hyperlink" Target="https://etf.wi.gov/news/legislative-upd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952</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6670</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cp:lastModifiedBy>Bucaida, Beth - ETF</cp:lastModifiedBy>
  <cp:revision>5</cp:revision>
  <cp:lastPrinted>2017-11-07T16:20:00Z</cp:lastPrinted>
  <dcterms:created xsi:type="dcterms:W3CDTF">2020-01-09T21:20:00Z</dcterms:created>
  <dcterms:modified xsi:type="dcterms:W3CDTF">2020-01-09T21:46:00Z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ies>
</file>